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E05C38" w14:textId="72239CCB" w:rsidR="005C2EE9" w:rsidRDefault="00E350AE">
      <w:pPr>
        <w:spacing w:before="240" w:after="480"/>
        <w:jc w:val="center"/>
        <w:rPr>
          <w:rFonts w:eastAsia="Times New Roman"/>
          <w:szCs w:val="20"/>
        </w:rPr>
      </w:pPr>
      <w:r>
        <w:rPr>
          <w:rFonts w:eastAsia="Times New Roman"/>
          <w:b/>
          <w:szCs w:val="20"/>
        </w:rPr>
        <w:t>PUC DOCKET NO. 5</w:t>
      </w:r>
      <w:r w:rsidR="00EB1EB9">
        <w:rPr>
          <w:rFonts w:eastAsia="Times New Roman"/>
          <w:b/>
          <w:szCs w:val="20"/>
        </w:rPr>
        <w:t>6690</w:t>
      </w:r>
      <w:r>
        <w:rPr>
          <w:rFonts w:eastAsia="Times New Roman"/>
          <w:b/>
          <w:szCs w:val="20"/>
        </w:rPr>
        <w:br/>
        <w:t>SOAH DOCKET NO. 473-2</w:t>
      </w:r>
      <w:r w:rsidR="00EB1EB9">
        <w:rPr>
          <w:rFonts w:eastAsia="Times New Roman"/>
          <w:b/>
          <w:szCs w:val="20"/>
        </w:rPr>
        <w:t>4</w:t>
      </w:r>
      <w:r>
        <w:rPr>
          <w:rFonts w:eastAsia="Times New Roman"/>
          <w:b/>
          <w:szCs w:val="20"/>
        </w:rPr>
        <w:t>-</w:t>
      </w:r>
      <w:r w:rsidR="00EB1EB9">
        <w:rPr>
          <w:rFonts w:eastAsia="Times New Roman"/>
          <w:b/>
          <w:szCs w:val="20"/>
        </w:rPr>
        <w:t>19708</w:t>
      </w:r>
    </w:p>
    <w:tbl>
      <w:tblPr>
        <w:tblW w:w="0" w:type="auto"/>
        <w:jc w:val="center"/>
        <w:tblLayout w:type="fixed"/>
        <w:tblLook w:val="0000" w:firstRow="0" w:lastRow="0" w:firstColumn="0" w:lastColumn="0" w:noHBand="0" w:noVBand="0"/>
      </w:tblPr>
      <w:tblGrid>
        <w:gridCol w:w="4608"/>
        <w:gridCol w:w="540"/>
        <w:gridCol w:w="4428"/>
      </w:tblGrid>
      <w:tr w:rsidR="005C2EE9" w14:paraId="70CE5D50" w14:textId="77777777">
        <w:trPr>
          <w:jc w:val="center"/>
        </w:trPr>
        <w:tc>
          <w:tcPr>
            <w:tcW w:w="4608" w:type="dxa"/>
          </w:tcPr>
          <w:p w14:paraId="713E8863" w14:textId="77777777" w:rsidR="005C2EE9" w:rsidRDefault="00E350AE">
            <w:pPr>
              <w:rPr>
                <w:rFonts w:eastAsia="Times New Roman"/>
                <w:b/>
              </w:rPr>
            </w:pPr>
            <w:r>
              <w:rPr>
                <w:rFonts w:eastAsia="Times New Roman"/>
                <w:b/>
              </w:rPr>
              <w:t xml:space="preserve">APPLICATION OF CENTERPOINT ENERGY HOUSTON ELECTRIC, LLC TO ADJUST ITS ENERGY EFFICIENCY COST RECOVERY FACTOR </w:t>
            </w:r>
          </w:p>
        </w:tc>
        <w:tc>
          <w:tcPr>
            <w:tcW w:w="540" w:type="dxa"/>
          </w:tcPr>
          <w:p w14:paraId="07033913" w14:textId="77777777" w:rsidR="005C2EE9" w:rsidRDefault="00E350AE">
            <w:pPr>
              <w:rPr>
                <w:rFonts w:eastAsia="Times New Roman"/>
                <w:b/>
                <w:szCs w:val="20"/>
              </w:rPr>
            </w:pPr>
            <w:r>
              <w:rPr>
                <w:rFonts w:eastAsia="Times New Roman"/>
                <w:b/>
                <w:szCs w:val="20"/>
              </w:rPr>
              <w:t>§</w:t>
            </w:r>
          </w:p>
          <w:p w14:paraId="21B1522A" w14:textId="77777777" w:rsidR="005C2EE9" w:rsidRDefault="00E350AE">
            <w:pPr>
              <w:rPr>
                <w:rFonts w:eastAsia="Times New Roman"/>
                <w:b/>
                <w:szCs w:val="20"/>
              </w:rPr>
            </w:pPr>
            <w:r>
              <w:rPr>
                <w:rFonts w:eastAsia="Times New Roman"/>
                <w:b/>
                <w:szCs w:val="20"/>
              </w:rPr>
              <w:t>§</w:t>
            </w:r>
          </w:p>
          <w:p w14:paraId="2AA9DAF1" w14:textId="77777777" w:rsidR="005C2EE9" w:rsidRDefault="00E350AE">
            <w:pPr>
              <w:rPr>
                <w:rFonts w:eastAsia="Times New Roman"/>
                <w:b/>
                <w:szCs w:val="20"/>
              </w:rPr>
            </w:pPr>
            <w:r>
              <w:rPr>
                <w:rFonts w:eastAsia="Times New Roman"/>
                <w:b/>
                <w:szCs w:val="20"/>
              </w:rPr>
              <w:t>§</w:t>
            </w:r>
          </w:p>
          <w:p w14:paraId="5141268B" w14:textId="77777777" w:rsidR="005C2EE9" w:rsidRDefault="00E350AE">
            <w:pPr>
              <w:rPr>
                <w:rFonts w:eastAsia="Times New Roman"/>
                <w:b/>
                <w:szCs w:val="20"/>
              </w:rPr>
            </w:pPr>
            <w:r>
              <w:rPr>
                <w:rFonts w:eastAsia="Times New Roman"/>
                <w:b/>
                <w:szCs w:val="20"/>
              </w:rPr>
              <w:t>§</w:t>
            </w:r>
          </w:p>
          <w:p w14:paraId="4B7077EA" w14:textId="77777777" w:rsidR="005C2EE9" w:rsidRDefault="00E350AE">
            <w:pPr>
              <w:rPr>
                <w:rFonts w:eastAsia="Times New Roman"/>
                <w:b/>
                <w:szCs w:val="20"/>
              </w:rPr>
            </w:pPr>
            <w:r>
              <w:rPr>
                <w:rFonts w:eastAsia="Times New Roman"/>
                <w:b/>
                <w:szCs w:val="20"/>
              </w:rPr>
              <w:t>§</w:t>
            </w:r>
          </w:p>
        </w:tc>
        <w:tc>
          <w:tcPr>
            <w:tcW w:w="4428" w:type="dxa"/>
          </w:tcPr>
          <w:p w14:paraId="34B5288C" w14:textId="77777777" w:rsidR="005C2EE9" w:rsidRDefault="005C2EE9">
            <w:pPr>
              <w:ind w:right="270"/>
              <w:jc w:val="center"/>
              <w:rPr>
                <w:rFonts w:eastAsia="Times New Roman"/>
                <w:b/>
                <w:szCs w:val="20"/>
              </w:rPr>
            </w:pPr>
          </w:p>
          <w:p w14:paraId="24E142DA" w14:textId="77777777" w:rsidR="005C2EE9" w:rsidRDefault="00E350AE">
            <w:pPr>
              <w:ind w:right="270"/>
              <w:jc w:val="center"/>
              <w:rPr>
                <w:rFonts w:eastAsia="Times New Roman"/>
                <w:b/>
                <w:szCs w:val="20"/>
              </w:rPr>
            </w:pPr>
            <w:r>
              <w:rPr>
                <w:rFonts w:eastAsia="Times New Roman"/>
                <w:b/>
                <w:szCs w:val="20"/>
              </w:rPr>
              <w:t>PUBLIC UTILITY COMMISSION</w:t>
            </w:r>
            <w:r>
              <w:rPr>
                <w:rFonts w:eastAsia="Times New Roman"/>
                <w:b/>
                <w:szCs w:val="20"/>
              </w:rPr>
              <w:br/>
            </w:r>
            <w:r>
              <w:rPr>
                <w:rFonts w:eastAsia="Times New Roman"/>
                <w:b/>
                <w:szCs w:val="20"/>
              </w:rPr>
              <w:br/>
              <w:t>OF TEXAS</w:t>
            </w:r>
          </w:p>
        </w:tc>
      </w:tr>
    </w:tbl>
    <w:p w14:paraId="37DEC824" w14:textId="77777777" w:rsidR="005C2EE9" w:rsidRPr="00030E5E" w:rsidRDefault="00E350AE">
      <w:pPr>
        <w:pStyle w:val="Titleoforder"/>
      </w:pPr>
      <w:r>
        <w:t>PROPOSED ORDER</w:t>
      </w:r>
    </w:p>
    <w:p w14:paraId="78B0CD24" w14:textId="69E903D3" w:rsidR="005C2EE9" w:rsidRDefault="00E350AE">
      <w:pPr>
        <w:pStyle w:val="BodyText"/>
      </w:pPr>
      <w:r>
        <w:rPr>
          <w:color w:val="000000"/>
          <w:lang w:val="x-none"/>
        </w:rPr>
        <w:t>This Order addresses the application of CenterPoint Energy Houston Electric, LLC</w:t>
      </w:r>
      <w:r>
        <w:rPr>
          <w:color w:val="000000"/>
        </w:rPr>
        <w:t xml:space="preserve"> </w:t>
      </w:r>
      <w:r>
        <w:rPr>
          <w:color w:val="000000"/>
          <w:lang w:val="x-none"/>
        </w:rPr>
        <w:t xml:space="preserve">(CenterPoint </w:t>
      </w:r>
      <w:r>
        <w:rPr>
          <w:color w:val="000000"/>
        </w:rPr>
        <w:t>Houston</w:t>
      </w:r>
      <w:r>
        <w:rPr>
          <w:color w:val="000000"/>
          <w:lang w:val="x-none"/>
        </w:rPr>
        <w:t xml:space="preserve">) </w:t>
      </w:r>
      <w:r>
        <w:rPr>
          <w:color w:val="000000"/>
        </w:rPr>
        <w:t>to adjust its</w:t>
      </w:r>
      <w:r>
        <w:rPr>
          <w:color w:val="000000"/>
          <w:lang w:val="x-none"/>
        </w:rPr>
        <w:t xml:space="preserve"> energy</w:t>
      </w:r>
      <w:r>
        <w:rPr>
          <w:color w:val="000000"/>
        </w:rPr>
        <w:t xml:space="preserve"> </w:t>
      </w:r>
      <w:r>
        <w:rPr>
          <w:color w:val="000000"/>
          <w:lang w:val="x-none"/>
        </w:rPr>
        <w:t xml:space="preserve">efficiency cost recovery factor </w:t>
      </w:r>
      <w:r>
        <w:rPr>
          <w:color w:val="000000"/>
        </w:rPr>
        <w:t>(EECRF)</w:t>
      </w:r>
      <w:r w:rsidR="00D77128">
        <w:rPr>
          <w:color w:val="000000"/>
        </w:rPr>
        <w:t xml:space="preserve"> under section 39.905(b)(1) of the Public Utility Regulatory Act (PURA)</w:t>
      </w:r>
      <w:r w:rsidR="00D77128">
        <w:rPr>
          <w:rStyle w:val="FootnoteReference"/>
          <w:color w:val="000000"/>
        </w:rPr>
        <w:footnoteReference w:id="2"/>
      </w:r>
      <w:r w:rsidR="00D77128">
        <w:rPr>
          <w:color w:val="000000"/>
        </w:rPr>
        <w:t xml:space="preserve"> and 16 Texas Administrative Code (TAC) § 25.182</w:t>
      </w:r>
      <w:r>
        <w:rPr>
          <w:color w:val="000000"/>
          <w:lang w:val="x-none"/>
        </w:rPr>
        <w:t xml:space="preserve">. </w:t>
      </w:r>
      <w:r>
        <w:rPr>
          <w:color w:val="000000"/>
        </w:rPr>
        <w:t xml:space="preserve"> CenterPoint Houston filed a</w:t>
      </w:r>
      <w:r w:rsidR="0004524D">
        <w:rPr>
          <w:color w:val="000000"/>
        </w:rPr>
        <w:t>n</w:t>
      </w:r>
      <w:r>
        <w:rPr>
          <w:color w:val="000000"/>
        </w:rPr>
        <w:t xml:space="preserve"> </w:t>
      </w:r>
      <w:r w:rsidR="0004524D">
        <w:rPr>
          <w:color w:val="000000"/>
        </w:rPr>
        <w:t xml:space="preserve">unopposed </w:t>
      </w:r>
      <w:r>
        <w:rPr>
          <w:color w:val="000000"/>
        </w:rPr>
        <w:t xml:space="preserve">agreement between </w:t>
      </w:r>
      <w:r w:rsidR="0090259F">
        <w:t>itself</w:t>
      </w:r>
      <w:r w:rsidR="001B163E">
        <w:t xml:space="preserve">, Commission Staff, </w:t>
      </w:r>
      <w:r w:rsidR="0090259F">
        <w:rPr>
          <w:rFonts w:eastAsia="Times New Roman"/>
          <w:snapToGrid w:val="0"/>
        </w:rPr>
        <w:t>Gulf Coast Coalition of Cities (</w:t>
      </w:r>
      <w:r w:rsidR="001B163E">
        <w:t>GCCC</w:t>
      </w:r>
      <w:r w:rsidR="0090259F">
        <w:t>)</w:t>
      </w:r>
      <w:r w:rsidR="00EB1EB9">
        <w:t xml:space="preserve"> and</w:t>
      </w:r>
      <w:r w:rsidR="001B163E">
        <w:t xml:space="preserve"> the City of Houston</w:t>
      </w:r>
      <w:r w:rsidR="0090259F">
        <w:t xml:space="preserve"> (collectively, “Signatories”)</w:t>
      </w:r>
      <w:r>
        <w:rPr>
          <w:color w:val="000000"/>
        </w:rPr>
        <w:t>.</w:t>
      </w:r>
      <w:r w:rsidR="0090259F">
        <w:rPr>
          <w:color w:val="000000"/>
        </w:rPr>
        <w:t xml:space="preserve">  </w:t>
      </w:r>
      <w:r w:rsidR="000C1E43">
        <w:t>Under the Signatories’ agreement, CenterPoint Houston’s EECRF will recover approximately $</w:t>
      </w:r>
      <w:r w:rsidR="00EB1EB9">
        <w:t>62,740,346</w:t>
      </w:r>
      <w:r w:rsidR="000C1E43">
        <w:t xml:space="preserve"> in revenue annually,</w:t>
      </w:r>
      <w:r w:rsidR="005C5452">
        <w:t xml:space="preserve"> a </w:t>
      </w:r>
      <w:r w:rsidR="000C1E43">
        <w:t>decrease of $</w:t>
      </w:r>
      <w:r w:rsidR="00EB1EB9">
        <w:t>2,500</w:t>
      </w:r>
      <w:r w:rsidR="000C1E43">
        <w:t>,000</w:t>
      </w:r>
      <w:r w:rsidR="008A2A03">
        <w:t xml:space="preserve"> from the requested amount</w:t>
      </w:r>
      <w:r w:rsidR="000C1E43">
        <w:t>.</w:t>
      </w:r>
      <w:r>
        <w:rPr>
          <w:color w:val="000000"/>
        </w:rPr>
        <w:t xml:space="preserve">  The Commission </w:t>
      </w:r>
      <w:r w:rsidR="006018BD">
        <w:rPr>
          <w:color w:val="000000"/>
        </w:rPr>
        <w:t xml:space="preserve">approves </w:t>
      </w:r>
      <w:r>
        <w:rPr>
          <w:color w:val="000000"/>
        </w:rPr>
        <w:t xml:space="preserve">CenterPoint Houston’s </w:t>
      </w:r>
      <w:r w:rsidR="006018BD">
        <w:rPr>
          <w:color w:val="000000"/>
        </w:rPr>
        <w:t xml:space="preserve">adjustment to its </w:t>
      </w:r>
      <w:r>
        <w:rPr>
          <w:color w:val="000000"/>
        </w:rPr>
        <w:t xml:space="preserve">EECRF to the extent provided in this Order. </w:t>
      </w:r>
      <w:r w:rsidR="001B163E">
        <w:rPr>
          <w:color w:val="000000"/>
        </w:rPr>
        <w:t xml:space="preserve"> </w:t>
      </w:r>
    </w:p>
    <w:p w14:paraId="31BAC388" w14:textId="77777777" w:rsidR="005C2EE9" w:rsidRDefault="00E350AE">
      <w:pPr>
        <w:pStyle w:val="Heading1"/>
      </w:pPr>
      <w:r>
        <w:t>Findings of Fact</w:t>
      </w:r>
    </w:p>
    <w:p w14:paraId="64EC1025" w14:textId="77777777" w:rsidR="005C2EE9" w:rsidRDefault="00E350AE">
      <w:pPr>
        <w:pStyle w:val="BodyText"/>
      </w:pPr>
      <w:r>
        <w:t>The Commission makes the following findings of fact.</w:t>
      </w:r>
    </w:p>
    <w:p w14:paraId="4F34502E" w14:textId="77777777" w:rsidR="005C2EE9" w:rsidRDefault="00E350AE">
      <w:pPr>
        <w:pStyle w:val="Heading7"/>
        <w:jc w:val="both"/>
        <w:rPr>
          <w:rFonts w:eastAsia="Times New Roman"/>
          <w:snapToGrid w:val="0"/>
        </w:rPr>
      </w:pPr>
      <w:r>
        <w:rPr>
          <w:rFonts w:eastAsia="Times New Roman"/>
          <w:snapToGrid w:val="0"/>
        </w:rPr>
        <w:t xml:space="preserve">Applicant </w:t>
      </w:r>
    </w:p>
    <w:p w14:paraId="24F4CE67" w14:textId="77777777" w:rsidR="005C2EE9" w:rsidRDefault="00E350AE">
      <w:pPr>
        <w:pStyle w:val="FOFNumbered"/>
      </w:pPr>
      <w:r>
        <w:t>CenterPoint Houston is a Texas limited liability company registered with the Texas Secretary of State under filing number 800119842.</w:t>
      </w:r>
    </w:p>
    <w:p w14:paraId="5E9F0927" w14:textId="77777777" w:rsidR="005C2EE9" w:rsidRDefault="00E350AE">
      <w:pPr>
        <w:pStyle w:val="FOFNumbered"/>
      </w:pPr>
      <w:r>
        <w:t>CenterPoint Houston owns and operates for compensation in Texas facilities and equipment to transmit and distribute electricity in the Electric Reliability Council of Texas, Inc. (ERCOT) power region.</w:t>
      </w:r>
    </w:p>
    <w:p w14:paraId="162EFECD" w14:textId="77777777" w:rsidR="005C2EE9" w:rsidRDefault="00E350AE">
      <w:pPr>
        <w:pStyle w:val="FOFNumbered"/>
      </w:pPr>
      <w:r>
        <w:lastRenderedPageBreak/>
        <w:t>CenterPoint Houston is required under certificate of convenience and necessity number 30086 to provide service to the public and retail electric service within its certificated service area.</w:t>
      </w:r>
    </w:p>
    <w:p w14:paraId="23F1CBF3" w14:textId="77777777" w:rsidR="005C2EE9" w:rsidRDefault="00E350AE">
      <w:pPr>
        <w:pStyle w:val="Heading7"/>
        <w:rPr>
          <w:rFonts w:eastAsia="Times New Roman"/>
          <w:snapToGrid w:val="0"/>
        </w:rPr>
      </w:pPr>
      <w:r>
        <w:rPr>
          <w:rFonts w:eastAsia="Times New Roman"/>
          <w:snapToGrid w:val="0"/>
        </w:rPr>
        <w:t>Application</w:t>
      </w:r>
    </w:p>
    <w:p w14:paraId="0E29FC14" w14:textId="23ED4DA0" w:rsidR="005C2EE9" w:rsidRDefault="00E350AE">
      <w:pPr>
        <w:pStyle w:val="FOFNumbered"/>
      </w:pPr>
      <w:r>
        <w:rPr>
          <w:rStyle w:val="FOFNumberedChar"/>
        </w:rPr>
        <w:t xml:space="preserve">On </w:t>
      </w:r>
      <w:r w:rsidR="00EB1EB9">
        <w:rPr>
          <w:rStyle w:val="FOFNumberedChar"/>
        </w:rPr>
        <w:t>May 31</w:t>
      </w:r>
      <w:r>
        <w:rPr>
          <w:rStyle w:val="FOFNumberedChar"/>
        </w:rPr>
        <w:t>, 202</w:t>
      </w:r>
      <w:r w:rsidR="00EB1EB9">
        <w:rPr>
          <w:rStyle w:val="FOFNumberedChar"/>
        </w:rPr>
        <w:t>4</w:t>
      </w:r>
      <w:r>
        <w:rPr>
          <w:rStyle w:val="FOFNumberedChar"/>
        </w:rPr>
        <w:t>, CenterPoint Houston filed an application to adjust its 202</w:t>
      </w:r>
      <w:r w:rsidR="00EB1EB9">
        <w:rPr>
          <w:rStyle w:val="FOFNumberedChar"/>
        </w:rPr>
        <w:t>5</w:t>
      </w:r>
      <w:r>
        <w:rPr>
          <w:rStyle w:val="FOFNumberedChar"/>
        </w:rPr>
        <w:t xml:space="preserve"> EECRF,</w:t>
      </w:r>
      <w:r>
        <w:t xml:space="preserve"> effective with its March 202</w:t>
      </w:r>
      <w:r w:rsidR="00EB1EB9">
        <w:t>5</w:t>
      </w:r>
      <w:r>
        <w:t xml:space="preserve"> billing month.</w:t>
      </w:r>
    </w:p>
    <w:p w14:paraId="7BB833B9" w14:textId="45524534" w:rsidR="005C2EE9" w:rsidRDefault="00E350AE">
      <w:pPr>
        <w:pStyle w:val="FOFNumbered"/>
      </w:pPr>
      <w:r>
        <w:t xml:space="preserve">The application was docketed on </w:t>
      </w:r>
      <w:r w:rsidR="00EB1EB9">
        <w:t>May 31</w:t>
      </w:r>
      <w:r>
        <w:t>, 202</w:t>
      </w:r>
      <w:r w:rsidR="00EB1EB9">
        <w:t>4</w:t>
      </w:r>
      <w:r>
        <w:t xml:space="preserve">. </w:t>
      </w:r>
    </w:p>
    <w:p w14:paraId="64A543B4" w14:textId="77777777" w:rsidR="005C2EE9" w:rsidRDefault="00E350AE">
      <w:pPr>
        <w:pStyle w:val="FOFNumbered"/>
      </w:pPr>
      <w:r>
        <w:t>No party objected to the sufficiency of the application.</w:t>
      </w:r>
    </w:p>
    <w:p w14:paraId="33234834" w14:textId="2109F69A" w:rsidR="005C2EE9" w:rsidRDefault="00E350AE">
      <w:pPr>
        <w:pStyle w:val="FOFNumbered"/>
      </w:pPr>
      <w:r>
        <w:t>In the application, CenterPoint Houston sought Commission approval to adjust its EECRF to recover $</w:t>
      </w:r>
      <w:r w:rsidR="00EB1EB9">
        <w:t>65,240,346</w:t>
      </w:r>
      <w:r>
        <w:t xml:space="preserve"> during program year 202</w:t>
      </w:r>
      <w:r w:rsidR="00EB1EB9">
        <w:t>5</w:t>
      </w:r>
      <w:r>
        <w:t>.  The amount included the following:</w:t>
      </w:r>
    </w:p>
    <w:p w14:paraId="6B95B75F" w14:textId="4D2AE27D" w:rsidR="005C2EE9" w:rsidRDefault="00E350AE">
      <w:pPr>
        <w:numPr>
          <w:ilvl w:val="7"/>
          <w:numId w:val="4"/>
        </w:numPr>
        <w:tabs>
          <w:tab w:val="num" w:pos="1440"/>
        </w:tabs>
        <w:spacing w:before="120" w:after="120"/>
        <w:ind w:left="1440" w:hanging="720"/>
        <w:jc w:val="both"/>
        <w:rPr>
          <w:rFonts w:eastAsia="Times New Roman"/>
          <w:snapToGrid w:val="0"/>
        </w:rPr>
      </w:pPr>
      <w:r>
        <w:rPr>
          <w:rFonts w:eastAsia="Times New Roman"/>
          <w:snapToGrid w:val="0"/>
        </w:rPr>
        <w:t xml:space="preserve">CenterPoint Houston’s forecasted energy-efficiency costs of </w:t>
      </w:r>
      <w:r>
        <w:t>$</w:t>
      </w:r>
      <w:r w:rsidR="00EB1EB9">
        <w:t xml:space="preserve">50,182,074 </w:t>
      </w:r>
      <w:r>
        <w:rPr>
          <w:rFonts w:eastAsia="Times New Roman"/>
          <w:snapToGrid w:val="0"/>
        </w:rPr>
        <w:t>in program year 202</w:t>
      </w:r>
      <w:r w:rsidR="00EB1EB9">
        <w:rPr>
          <w:rFonts w:eastAsia="Times New Roman"/>
          <w:snapToGrid w:val="0"/>
        </w:rPr>
        <w:t>5</w:t>
      </w:r>
      <w:r>
        <w:rPr>
          <w:rFonts w:eastAsia="Times New Roman"/>
          <w:snapToGrid w:val="0"/>
        </w:rPr>
        <w:t>;</w:t>
      </w:r>
    </w:p>
    <w:p w14:paraId="69A8B876" w14:textId="6BFFD43F" w:rsidR="005C2EE9" w:rsidRDefault="00E350AE">
      <w:pPr>
        <w:numPr>
          <w:ilvl w:val="7"/>
          <w:numId w:val="4"/>
        </w:numPr>
        <w:tabs>
          <w:tab w:val="num" w:pos="1440"/>
        </w:tabs>
        <w:spacing w:before="120" w:after="120"/>
        <w:ind w:left="1440" w:hanging="720"/>
        <w:jc w:val="both"/>
        <w:rPr>
          <w:rFonts w:eastAsia="Times New Roman"/>
          <w:snapToGrid w:val="0"/>
        </w:rPr>
      </w:pPr>
      <w:r>
        <w:rPr>
          <w:rFonts w:eastAsia="Times New Roman"/>
          <w:snapToGrid w:val="0"/>
        </w:rPr>
        <w:t xml:space="preserve">projected evaluation, measurement, and verification (EM&amp;V) expenses in the amount of </w:t>
      </w:r>
      <w:r>
        <w:t>$5</w:t>
      </w:r>
      <w:r w:rsidR="00CD0618">
        <w:t>24,366</w:t>
      </w:r>
      <w:r>
        <w:t xml:space="preserve"> for the evaluation of program year 202</w:t>
      </w:r>
      <w:r w:rsidR="00EB1EB9">
        <w:t>5</w:t>
      </w:r>
      <w:r>
        <w:rPr>
          <w:rFonts w:eastAsia="Times New Roman"/>
          <w:snapToGrid w:val="0"/>
        </w:rPr>
        <w:t>;</w:t>
      </w:r>
    </w:p>
    <w:p w14:paraId="08B977F0" w14:textId="665E44CF" w:rsidR="005C2EE9" w:rsidRDefault="00E350AE">
      <w:pPr>
        <w:numPr>
          <w:ilvl w:val="7"/>
          <w:numId w:val="4"/>
        </w:numPr>
        <w:tabs>
          <w:tab w:val="num" w:pos="1440"/>
        </w:tabs>
        <w:spacing w:before="120" w:after="120"/>
        <w:ind w:left="1440" w:hanging="720"/>
        <w:jc w:val="both"/>
        <w:rPr>
          <w:rFonts w:eastAsia="Times New Roman"/>
          <w:snapToGrid w:val="0"/>
        </w:rPr>
      </w:pPr>
      <w:r>
        <w:rPr>
          <w:rFonts w:eastAsia="Times New Roman"/>
          <w:snapToGrid w:val="0"/>
        </w:rPr>
        <w:t>a c</w:t>
      </w:r>
      <w:r w:rsidR="00CD0618">
        <w:rPr>
          <w:rFonts w:eastAsia="Times New Roman"/>
          <w:snapToGrid w:val="0"/>
        </w:rPr>
        <w:t>redit</w:t>
      </w:r>
      <w:r>
        <w:rPr>
          <w:rFonts w:eastAsia="Times New Roman"/>
          <w:snapToGrid w:val="0"/>
        </w:rPr>
        <w:t xml:space="preserve"> of $</w:t>
      </w:r>
      <w:r w:rsidR="00EB1EB9">
        <w:t>512,486</w:t>
      </w:r>
      <w:r>
        <w:t xml:space="preserve"> for </w:t>
      </w:r>
      <w:r>
        <w:rPr>
          <w:rFonts w:eastAsia="Times New Roman"/>
          <w:snapToGrid w:val="0"/>
        </w:rPr>
        <w:t xml:space="preserve">CenterPoint Houston’s net </w:t>
      </w:r>
      <w:r w:rsidR="00CD0618">
        <w:rPr>
          <w:rFonts w:eastAsia="Times New Roman"/>
          <w:snapToGrid w:val="0"/>
        </w:rPr>
        <w:t>over</w:t>
      </w:r>
      <w:r>
        <w:rPr>
          <w:rFonts w:eastAsia="Times New Roman"/>
          <w:snapToGrid w:val="0"/>
        </w:rPr>
        <w:t xml:space="preserve">-recovery, </w:t>
      </w:r>
      <w:r w:rsidR="00EB1EB9">
        <w:rPr>
          <w:rFonts w:eastAsia="Times New Roman"/>
          <w:snapToGrid w:val="0"/>
        </w:rPr>
        <w:t xml:space="preserve">and </w:t>
      </w:r>
      <w:r>
        <w:t xml:space="preserve">interest </w:t>
      </w:r>
      <w:r w:rsidR="00EB1EB9">
        <w:t xml:space="preserve">on that over-recovery </w:t>
      </w:r>
      <w:r>
        <w:t>of $</w:t>
      </w:r>
      <w:r w:rsidR="00EB1EB9">
        <w:t>31,509 for</w:t>
      </w:r>
      <w:r>
        <w:rPr>
          <w:rFonts w:eastAsia="Times New Roman"/>
          <w:snapToGrid w:val="0"/>
        </w:rPr>
        <w:t xml:space="preserve"> program year 202</w:t>
      </w:r>
      <w:r w:rsidR="00EB1EB9">
        <w:rPr>
          <w:rFonts w:eastAsia="Times New Roman"/>
          <w:snapToGrid w:val="0"/>
        </w:rPr>
        <w:t>3</w:t>
      </w:r>
      <w:r>
        <w:rPr>
          <w:rFonts w:eastAsia="Times New Roman"/>
          <w:snapToGrid w:val="0"/>
        </w:rPr>
        <w:t xml:space="preserve"> energy</w:t>
      </w:r>
      <w:r>
        <w:rPr>
          <w:rFonts w:eastAsia="Times New Roman"/>
          <w:snapToGrid w:val="0"/>
        </w:rPr>
        <w:noBreakHyphen/>
        <w:t>efficiency costs;</w:t>
      </w:r>
    </w:p>
    <w:p w14:paraId="4E3AE956" w14:textId="2635A845" w:rsidR="005C2EE9" w:rsidRDefault="00E350AE">
      <w:pPr>
        <w:numPr>
          <w:ilvl w:val="7"/>
          <w:numId w:val="4"/>
        </w:numPr>
        <w:tabs>
          <w:tab w:val="num" w:pos="1440"/>
        </w:tabs>
        <w:spacing w:before="120" w:after="120"/>
        <w:ind w:left="1440" w:hanging="720"/>
        <w:jc w:val="both"/>
        <w:rPr>
          <w:rFonts w:eastAsia="Times New Roman"/>
          <w:snapToGrid w:val="0"/>
        </w:rPr>
      </w:pPr>
      <w:r>
        <w:rPr>
          <w:rFonts w:eastAsia="Times New Roman"/>
          <w:snapToGrid w:val="0"/>
        </w:rPr>
        <w:t xml:space="preserve">rate-case expenses incurred in CenterPoint Houston’s most recent EECRF proceeding, Docket No. </w:t>
      </w:r>
      <w:r w:rsidR="00EB1EB9">
        <w:rPr>
          <w:rFonts w:eastAsia="Times New Roman"/>
          <w:snapToGrid w:val="0"/>
        </w:rPr>
        <w:t>55088</w:t>
      </w:r>
      <w:r>
        <w:rPr>
          <w:rFonts w:eastAsia="Times New Roman"/>
          <w:snapToGrid w:val="0"/>
        </w:rPr>
        <w:t>,</w:t>
      </w:r>
      <w:r>
        <w:rPr>
          <w:rStyle w:val="FootnoteReference"/>
          <w:rFonts w:eastAsia="Times New Roman"/>
          <w:snapToGrid w:val="0"/>
        </w:rPr>
        <w:footnoteReference w:id="3"/>
      </w:r>
      <w:r>
        <w:rPr>
          <w:rFonts w:eastAsia="Times New Roman"/>
          <w:snapToGrid w:val="0"/>
        </w:rPr>
        <w:t xml:space="preserve"> in the amount of </w:t>
      </w:r>
      <w:r w:rsidR="00EB1EB9">
        <w:t>$45,391</w:t>
      </w:r>
      <w:r>
        <w:t xml:space="preserve">, which is comprised of </w:t>
      </w:r>
      <w:r w:rsidR="00EB1EB9">
        <w:t>$28,653.20</w:t>
      </w:r>
      <w:r>
        <w:rPr>
          <w:rFonts w:eastAsia="Times New Roman"/>
          <w:snapToGrid w:val="0"/>
        </w:rPr>
        <w:t xml:space="preserve"> incurred by CenterPoint Houston, </w:t>
      </w:r>
      <w:r w:rsidR="00EB1EB9">
        <w:t>$</w:t>
      </w:r>
      <w:r w:rsidR="00C9160D">
        <w:t>9,</w:t>
      </w:r>
      <w:r w:rsidR="00D80C7C">
        <w:t>43</w:t>
      </w:r>
      <w:r w:rsidR="00C9160D">
        <w:t>7.</w:t>
      </w:r>
      <w:r w:rsidR="00FF6B8F">
        <w:t>50</w:t>
      </w:r>
      <w:r w:rsidR="005C5452">
        <w:t xml:space="preserve"> </w:t>
      </w:r>
      <w:r>
        <w:rPr>
          <w:rFonts w:eastAsia="Times New Roman"/>
          <w:snapToGrid w:val="0"/>
        </w:rPr>
        <w:t xml:space="preserve">incurred by GCCC, and </w:t>
      </w:r>
      <w:r w:rsidR="00EB1EB9">
        <w:t xml:space="preserve">$7,510 </w:t>
      </w:r>
      <w:r>
        <w:rPr>
          <w:rFonts w:eastAsia="Times New Roman"/>
          <w:snapToGrid w:val="0"/>
        </w:rPr>
        <w:t>incurred by the City of Houston; and</w:t>
      </w:r>
    </w:p>
    <w:p w14:paraId="45165618" w14:textId="1D31A584" w:rsidR="005C2EE9" w:rsidRDefault="00E350AE">
      <w:pPr>
        <w:numPr>
          <w:ilvl w:val="7"/>
          <w:numId w:val="4"/>
        </w:numPr>
        <w:tabs>
          <w:tab w:val="num" w:pos="1440"/>
        </w:tabs>
        <w:spacing w:before="120" w:after="120"/>
        <w:ind w:left="1440" w:hanging="720"/>
        <w:jc w:val="both"/>
        <w:rPr>
          <w:rFonts w:eastAsia="Arial"/>
        </w:rPr>
      </w:pPr>
      <w:r>
        <w:rPr>
          <w:rFonts w:eastAsia="Times New Roman"/>
          <w:snapToGrid w:val="0"/>
        </w:rPr>
        <w:t xml:space="preserve">a performance bonus of </w:t>
      </w:r>
      <w:r w:rsidR="00EB1EB9" w:rsidRPr="00EA5276">
        <w:t>$</w:t>
      </w:r>
      <w:r w:rsidR="00EB1EB9">
        <w:t xml:space="preserve">15,032,510 </w:t>
      </w:r>
      <w:r>
        <w:t>for 202</w:t>
      </w:r>
      <w:r w:rsidR="00EB1EB9">
        <w:t>3</w:t>
      </w:r>
      <w:r>
        <w:t xml:space="preserve"> program achievements</w:t>
      </w:r>
      <w:r>
        <w:rPr>
          <w:rFonts w:eastAsia="Times New Roman"/>
          <w:snapToGrid w:val="0"/>
        </w:rPr>
        <w:t>.</w:t>
      </w:r>
    </w:p>
    <w:p w14:paraId="04F1A5FF" w14:textId="16B2C344" w:rsidR="005C2EE9" w:rsidRDefault="00E350AE">
      <w:pPr>
        <w:pStyle w:val="FOFNumbered"/>
      </w:pPr>
      <w:r>
        <w:t>In State Office of Administrative Hearings (SOAH) Order No. __ filed on _____, 202</w:t>
      </w:r>
      <w:r w:rsidR="00EB1EB9">
        <w:t>4</w:t>
      </w:r>
      <w:r>
        <w:t>, the SOAH administrative law judge (ALJ) found the application sufficient.</w:t>
      </w:r>
    </w:p>
    <w:p w14:paraId="4579E1DB" w14:textId="2EE7E1E6" w:rsidR="005C2EE9" w:rsidRDefault="00E350AE">
      <w:pPr>
        <w:pStyle w:val="Heading7"/>
        <w:rPr>
          <w:rFonts w:eastAsia="Times New Roman"/>
          <w:snapToGrid w:val="0"/>
        </w:rPr>
      </w:pPr>
      <w:r>
        <w:rPr>
          <w:rFonts w:eastAsia="Times New Roman"/>
          <w:snapToGrid w:val="0"/>
        </w:rPr>
        <w:t>Notice</w:t>
      </w:r>
      <w:r w:rsidR="00D77128">
        <w:rPr>
          <w:rFonts w:eastAsia="Times New Roman"/>
          <w:snapToGrid w:val="0"/>
        </w:rPr>
        <w:t xml:space="preserve"> of the Application</w:t>
      </w:r>
    </w:p>
    <w:p w14:paraId="6FDA6D91" w14:textId="57673C0C" w:rsidR="005C2EE9" w:rsidRDefault="00E350AE">
      <w:pPr>
        <w:pStyle w:val="FOFNumbered"/>
      </w:pPr>
      <w:r>
        <w:t xml:space="preserve">On </w:t>
      </w:r>
      <w:r w:rsidR="00601224">
        <w:t>May 31</w:t>
      </w:r>
      <w:r>
        <w:t>, 202</w:t>
      </w:r>
      <w:r w:rsidR="00601224">
        <w:t>4</w:t>
      </w:r>
      <w:r>
        <w:t>, CenterPoint Houston provided notice by first-class mail to the following: each party that participated in CenterPoint Houston’s most recent EECRF proceeding, Docket No. 5</w:t>
      </w:r>
      <w:r w:rsidR="00601224">
        <w:t>5088</w:t>
      </w:r>
      <w:r>
        <w:t xml:space="preserve">; all retail electric providers that were authorized to provide service in </w:t>
      </w:r>
      <w:r>
        <w:lastRenderedPageBreak/>
        <w:t>CenterPoint Houston’s service area at the time the EECRF application was filed; and all parties that participated in CenterPoint Houston’s base-rate case in Docket No.</w:t>
      </w:r>
      <w:r w:rsidR="001B54DC">
        <w:t> </w:t>
      </w:r>
      <w:r>
        <w:t>49421</w:t>
      </w:r>
      <w:r w:rsidR="00601224">
        <w:t xml:space="preserve"> and all parties participating in the Company’s base-rate case in Docket No. 56211</w:t>
      </w:r>
      <w:r>
        <w:t>.</w:t>
      </w:r>
      <w:r>
        <w:rPr>
          <w:rStyle w:val="FootnoteReference"/>
        </w:rPr>
        <w:footnoteReference w:id="4"/>
      </w:r>
      <w:r>
        <w:t xml:space="preserve">  </w:t>
      </w:r>
    </w:p>
    <w:p w14:paraId="29AA39CE" w14:textId="2FD3F678" w:rsidR="005C2EE9" w:rsidRDefault="00E350AE">
      <w:pPr>
        <w:pStyle w:val="FOFNumbered"/>
      </w:pPr>
      <w:r>
        <w:t xml:space="preserve">On </w:t>
      </w:r>
      <w:r w:rsidR="00601224">
        <w:t>May 31</w:t>
      </w:r>
      <w:r>
        <w:t>, 202</w:t>
      </w:r>
      <w:r w:rsidR="00601224">
        <w:t>4</w:t>
      </w:r>
      <w:r>
        <w:t xml:space="preserve">, CenterPoint Houston provided a copy of the notice by first-class mail to the Texas Department of Housing and Community Affairs, which is the state agency that administers the federal weatherization program.  </w:t>
      </w:r>
    </w:p>
    <w:p w14:paraId="02785D7F" w14:textId="12BB7D36" w:rsidR="005C2EE9" w:rsidRDefault="00E350AE">
      <w:pPr>
        <w:pStyle w:val="FOFNumbered"/>
      </w:pPr>
      <w:r>
        <w:t xml:space="preserve">In an affidavit filed by CenterPoint Houston on June </w:t>
      </w:r>
      <w:r w:rsidR="0028184F">
        <w:t>5</w:t>
      </w:r>
      <w:r>
        <w:t>, 202</w:t>
      </w:r>
      <w:r w:rsidR="00601224">
        <w:t>4</w:t>
      </w:r>
      <w:r>
        <w:t xml:space="preserve">, </w:t>
      </w:r>
      <w:r w:rsidR="00601224">
        <w:t>Petra Custer</w:t>
      </w:r>
      <w:r>
        <w:t xml:space="preserve">, </w:t>
      </w:r>
      <w:r w:rsidR="00601224">
        <w:t>Senior Coordinator</w:t>
      </w:r>
      <w:r w:rsidR="0028184F">
        <w:t>—</w:t>
      </w:r>
      <w:r>
        <w:t>Regulatory</w:t>
      </w:r>
      <w:r w:rsidR="0028184F">
        <w:t xml:space="preserve"> and Litigation</w:t>
      </w:r>
      <w:r>
        <w:t xml:space="preserve"> Support Services for CenterPoint Energy Service Company, LLC, attested that notice was provided as described in findings of fact 9 and 10.</w:t>
      </w:r>
    </w:p>
    <w:p w14:paraId="5EA77374" w14:textId="77777777" w:rsidR="005C2EE9" w:rsidRDefault="00E350AE">
      <w:pPr>
        <w:pStyle w:val="FOFNumbered"/>
      </w:pPr>
      <w:r>
        <w:t>No party objected to the adequacy of notice of the application.</w:t>
      </w:r>
    </w:p>
    <w:p w14:paraId="59050A53" w14:textId="432EE720" w:rsidR="005C2EE9" w:rsidRDefault="00E350AE">
      <w:pPr>
        <w:pStyle w:val="FOFNumbered"/>
      </w:pPr>
      <w:r>
        <w:t>In SOAH Order No. __ filed on _____, 202</w:t>
      </w:r>
      <w:r w:rsidR="00601224">
        <w:t>4</w:t>
      </w:r>
      <w:r>
        <w:t>, the SOAH ALJ deemed CenterPoint Houston’s notice of the application sufficient.</w:t>
      </w:r>
    </w:p>
    <w:p w14:paraId="3169F330" w14:textId="23D1E8DD" w:rsidR="005C2EE9" w:rsidRDefault="00E350AE">
      <w:pPr>
        <w:pStyle w:val="Heading7"/>
        <w:rPr>
          <w:rFonts w:eastAsia="Times New Roman"/>
          <w:snapToGrid w:val="0"/>
        </w:rPr>
      </w:pPr>
      <w:r>
        <w:rPr>
          <w:rFonts w:eastAsia="Times New Roman"/>
          <w:snapToGrid w:val="0"/>
        </w:rPr>
        <w:t>Interven</w:t>
      </w:r>
      <w:r w:rsidR="00D77128">
        <w:rPr>
          <w:rFonts w:eastAsia="Times New Roman"/>
          <w:snapToGrid w:val="0"/>
        </w:rPr>
        <w:t>tions</w:t>
      </w:r>
    </w:p>
    <w:p w14:paraId="48A33488" w14:textId="77777777" w:rsidR="005C2EE9" w:rsidRDefault="00E350AE">
      <w:pPr>
        <w:pStyle w:val="FOFNumbered"/>
      </w:pPr>
      <w:r>
        <w:t>Commission Staff participated in this docket.</w:t>
      </w:r>
    </w:p>
    <w:p w14:paraId="382312CF" w14:textId="0EEBBE6F" w:rsidR="005C2EE9" w:rsidRDefault="00E350AE">
      <w:pPr>
        <w:pStyle w:val="FOFNumbered"/>
      </w:pPr>
      <w:r>
        <w:t xml:space="preserve">In SOAH Order No. </w:t>
      </w:r>
      <w:r w:rsidR="001E4F93">
        <w:t>1</w:t>
      </w:r>
      <w:r>
        <w:t xml:space="preserve"> filed on Ju</w:t>
      </w:r>
      <w:r w:rsidR="0028184F">
        <w:t xml:space="preserve">ne </w:t>
      </w:r>
      <w:r w:rsidR="008F3BBC">
        <w:t>2</w:t>
      </w:r>
      <w:r w:rsidR="001E4F93">
        <w:t>0</w:t>
      </w:r>
      <w:r>
        <w:t>, 202</w:t>
      </w:r>
      <w:r w:rsidR="00601224">
        <w:t>4</w:t>
      </w:r>
      <w:r>
        <w:t xml:space="preserve">, the SOAH ALJ granted the motions to intervene filed by </w:t>
      </w:r>
      <w:r w:rsidR="000C1E43">
        <w:t>GCCC</w:t>
      </w:r>
      <w:r w:rsidR="0028184F">
        <w:t xml:space="preserve"> and</w:t>
      </w:r>
      <w:r>
        <w:t xml:space="preserve"> the City of Houston.</w:t>
      </w:r>
    </w:p>
    <w:p w14:paraId="60D1EE7D" w14:textId="77777777" w:rsidR="005C2EE9" w:rsidRDefault="00E350AE">
      <w:pPr>
        <w:pStyle w:val="Heading7"/>
        <w:rPr>
          <w:rFonts w:eastAsia="Times New Roman"/>
        </w:rPr>
      </w:pPr>
      <w:r>
        <w:t>Statements of Position and Pre-Filed Testimony</w:t>
      </w:r>
    </w:p>
    <w:p w14:paraId="70B70E2B" w14:textId="3501274C" w:rsidR="005C2EE9" w:rsidRDefault="00E350AE">
      <w:pPr>
        <w:pStyle w:val="FOFNumbered"/>
      </w:pPr>
      <w:r>
        <w:t xml:space="preserve">As part of the application filed on </w:t>
      </w:r>
      <w:r w:rsidR="00601224">
        <w:t>May 31</w:t>
      </w:r>
      <w:r>
        <w:t>, 202</w:t>
      </w:r>
      <w:r w:rsidR="00601224">
        <w:t>4</w:t>
      </w:r>
      <w:r>
        <w:t>, CenterPoint Houston provided the direct testimonies, exhibits, and workpapers of Shea A. Richardson, CenterPoint Houston’s manager of energy efficiency compliance, and Marvin D. Vaughn, lead analyst of rates for CenterPoint Energy Service Company, LLC.</w:t>
      </w:r>
      <w:r w:rsidR="00D13FEC">
        <w:t xml:space="preserve">  </w:t>
      </w:r>
    </w:p>
    <w:p w14:paraId="39A782E1" w14:textId="5AAF2FBC" w:rsidR="005C2EE9" w:rsidRDefault="00E350AE">
      <w:pPr>
        <w:pStyle w:val="FOFNumbered"/>
      </w:pPr>
      <w:r>
        <w:t xml:space="preserve">As part of the application filed on </w:t>
      </w:r>
      <w:r w:rsidR="00601224">
        <w:t>May 31</w:t>
      </w:r>
      <w:r>
        <w:t>, 202</w:t>
      </w:r>
      <w:r w:rsidR="00601224">
        <w:t>4</w:t>
      </w:r>
      <w:r>
        <w:t xml:space="preserve">, CenterPoint Houston filed the affidavit of </w:t>
      </w:r>
      <w:r w:rsidR="00601224">
        <w:t>Darrell Williams</w:t>
      </w:r>
      <w:r>
        <w:t xml:space="preserve">, </w:t>
      </w:r>
      <w:r w:rsidR="00601224">
        <w:t>Counsel I</w:t>
      </w:r>
      <w:r>
        <w:t xml:space="preserve"> for CenterPoint Houston, attesting to the reasonableness and necessity of its rate-case expenses incurred in Docket No. 5</w:t>
      </w:r>
      <w:r w:rsidR="00601224">
        <w:t>5088</w:t>
      </w:r>
      <w:r>
        <w:t xml:space="preserve"> based on appropriate factors under the Commission rule requirements for rate-case expenses, including the time and labor expended and the nature and scope of the rate case.</w:t>
      </w:r>
    </w:p>
    <w:p w14:paraId="6A54C3EF" w14:textId="7F8482D4" w:rsidR="005C2EE9" w:rsidRDefault="00E350AE">
      <w:pPr>
        <w:pStyle w:val="FOFNumbered"/>
      </w:pPr>
      <w:r>
        <w:t xml:space="preserve">As part of the application filed on </w:t>
      </w:r>
      <w:r w:rsidR="00601224">
        <w:t>May 31</w:t>
      </w:r>
      <w:r>
        <w:t>, 202</w:t>
      </w:r>
      <w:r w:rsidR="00601224">
        <w:t>4</w:t>
      </w:r>
      <w:r>
        <w:t>, CenterPoint Houston filed the affidavit of Jamie L. Mauldin attesting to the reasonableness and necessity of the GCCC’s rate-case expenses incurred in Docket No. 5</w:t>
      </w:r>
      <w:r w:rsidR="00601224">
        <w:t>5088</w:t>
      </w:r>
      <w:r>
        <w:t xml:space="preserve"> based on appropriate factors under the Commission rule requirements for rate-case expenses, including the time and labor expended and the nature and scope of the rate case.</w:t>
      </w:r>
    </w:p>
    <w:p w14:paraId="50ED8BA1" w14:textId="19F77EF2" w:rsidR="005C2EE9" w:rsidRDefault="00E350AE">
      <w:pPr>
        <w:pStyle w:val="FOFNumbered"/>
      </w:pPr>
      <w:r>
        <w:t xml:space="preserve">As part of the application filed on </w:t>
      </w:r>
      <w:r w:rsidR="00601224">
        <w:t>May 31, 2024</w:t>
      </w:r>
      <w:r>
        <w:t>, CenterPoint Houston filed the affidavit of Alisa Talley, division manager for the City of Houston, attesting to the reasonableness and necessity of the City of Houston’s rate-case expenses incurred in Docket No. 5</w:t>
      </w:r>
      <w:r w:rsidR="00601224">
        <w:t>5088</w:t>
      </w:r>
      <w:r>
        <w:t xml:space="preserve"> based on appropriate factors under the Commission rule requirements for rate-case expenses, including the time and labor expended and the nature and scope of the rate case.</w:t>
      </w:r>
    </w:p>
    <w:p w14:paraId="4412773B" w14:textId="1A0AFA92" w:rsidR="005C2EE9" w:rsidRDefault="00E350AE">
      <w:pPr>
        <w:pStyle w:val="FOFNumbered"/>
      </w:pPr>
      <w:r>
        <w:t>On ____, 202</w:t>
      </w:r>
      <w:r w:rsidR="00601224">
        <w:t>4</w:t>
      </w:r>
      <w:r>
        <w:t xml:space="preserve">, Commission Staff filed the </w:t>
      </w:r>
      <w:r w:rsidR="00B73908">
        <w:t>memorandum</w:t>
      </w:r>
      <w:r w:rsidR="00371570">
        <w:t>s</w:t>
      </w:r>
      <w:r>
        <w:t xml:space="preserve"> of ________ in support of the agreement. </w:t>
      </w:r>
    </w:p>
    <w:p w14:paraId="1374E0D0" w14:textId="0DBADDBE" w:rsidR="005C2EE9" w:rsidRDefault="00E350AE">
      <w:pPr>
        <w:pStyle w:val="Heading7"/>
        <w:rPr>
          <w:rFonts w:eastAsia="Times New Roman"/>
          <w:snapToGrid w:val="0"/>
        </w:rPr>
      </w:pPr>
      <w:r>
        <w:rPr>
          <w:rFonts w:eastAsia="Times New Roman"/>
          <w:snapToGrid w:val="0"/>
        </w:rPr>
        <w:t>Referral to SOAH</w:t>
      </w:r>
    </w:p>
    <w:p w14:paraId="05E13EE4" w14:textId="0463DC06" w:rsidR="005C2EE9" w:rsidRDefault="00E350AE">
      <w:pPr>
        <w:pStyle w:val="FOFNumbered"/>
      </w:pPr>
      <w:r>
        <w:t xml:space="preserve">On June </w:t>
      </w:r>
      <w:r w:rsidR="00601224">
        <w:t>5</w:t>
      </w:r>
      <w:r>
        <w:t>, 202</w:t>
      </w:r>
      <w:r w:rsidR="00601224">
        <w:t>4</w:t>
      </w:r>
      <w:r>
        <w:t xml:space="preserve">, the Commission </w:t>
      </w:r>
      <w:r w:rsidR="00D77128">
        <w:t xml:space="preserve">filed an order of referral and preliminary order referring </w:t>
      </w:r>
      <w:r>
        <w:t>this proceeding to SOAH</w:t>
      </w:r>
      <w:r w:rsidR="00D77128">
        <w:t xml:space="preserve"> and including a list of issues to be addressed</w:t>
      </w:r>
      <w:r>
        <w:t>.</w:t>
      </w:r>
    </w:p>
    <w:p w14:paraId="1D2299F2" w14:textId="071769AA" w:rsidR="005C2EE9" w:rsidRDefault="00E350AE">
      <w:pPr>
        <w:pStyle w:val="FOFNumbered"/>
      </w:pPr>
      <w:r>
        <w:t>In SOAH Order No. 2 filed on Ju</w:t>
      </w:r>
      <w:r w:rsidR="0028184F">
        <w:t>ne 2</w:t>
      </w:r>
      <w:r w:rsidR="00601224">
        <w:t>7</w:t>
      </w:r>
      <w:r>
        <w:t>, 202</w:t>
      </w:r>
      <w:r w:rsidR="00601224">
        <w:t>4</w:t>
      </w:r>
      <w:r>
        <w:t xml:space="preserve">, the SOAH ALJ </w:t>
      </w:r>
      <w:r w:rsidR="00601224">
        <w:t>adopted a procedural schedule</w:t>
      </w:r>
      <w:r>
        <w:t>.</w:t>
      </w:r>
    </w:p>
    <w:p w14:paraId="5378A664" w14:textId="6C20D0CF" w:rsidR="005C2EE9" w:rsidRDefault="00E350AE">
      <w:pPr>
        <w:pStyle w:val="FOFNumbered"/>
      </w:pPr>
      <w:r>
        <w:t xml:space="preserve">In SOAH Order No. </w:t>
      </w:r>
      <w:r w:rsidR="00601224">
        <w:t xml:space="preserve">__ </w:t>
      </w:r>
      <w:r>
        <w:t xml:space="preserve">on </w:t>
      </w:r>
      <w:r w:rsidR="00601224">
        <w:t>September __</w:t>
      </w:r>
      <w:r>
        <w:t>, 202</w:t>
      </w:r>
      <w:r w:rsidR="00601224">
        <w:t>4</w:t>
      </w:r>
      <w:r>
        <w:t>, the SOAH ALJ abated the proceeding because the parties had announced an agreement in principle.</w:t>
      </w:r>
    </w:p>
    <w:p w14:paraId="56941D1F" w14:textId="11A1EE17" w:rsidR="005C2EE9" w:rsidRDefault="00E350AE">
      <w:pPr>
        <w:pStyle w:val="FOFNumbered"/>
      </w:pPr>
      <w:r>
        <w:t>On _____, 202</w:t>
      </w:r>
      <w:r w:rsidR="00601224">
        <w:t>4</w:t>
      </w:r>
      <w:r>
        <w:t>, CenterPoint Houston, Commission Staff,</w:t>
      </w:r>
      <w:r w:rsidR="0028184F">
        <w:t xml:space="preserve"> </w:t>
      </w:r>
      <w:r w:rsidR="000556D0">
        <w:t>GCCC</w:t>
      </w:r>
      <w:r>
        <w:t xml:space="preserve">, </w:t>
      </w:r>
      <w:r w:rsidR="00601224">
        <w:t xml:space="preserve">and </w:t>
      </w:r>
      <w:r w:rsidR="00D77128">
        <w:t xml:space="preserve">the City of Houston </w:t>
      </w:r>
      <w:r w:rsidR="0028184F">
        <w:t>filed an unopposed</w:t>
      </w:r>
      <w:r>
        <w:t xml:space="preserve"> agreement between themselves.</w:t>
      </w:r>
      <w:r w:rsidR="000556D0">
        <w:t xml:space="preserve"> </w:t>
      </w:r>
      <w:r w:rsidR="0004524D">
        <w:t xml:space="preserve"> </w:t>
      </w:r>
    </w:p>
    <w:p w14:paraId="0B2E2374" w14:textId="467D740C" w:rsidR="005C2EE9" w:rsidRDefault="00E350AE">
      <w:pPr>
        <w:pStyle w:val="FOFNumbered"/>
      </w:pPr>
      <w:r>
        <w:t>In SOAH Order No. __ filed on ____, 202</w:t>
      </w:r>
      <w:r w:rsidR="002927ED">
        <w:t>4</w:t>
      </w:r>
      <w:r>
        <w:t xml:space="preserve"> the SOAH ALJ dismissed the case from SOAH’s docket and remanded it to the Commission.</w:t>
      </w:r>
    </w:p>
    <w:p w14:paraId="0412CFEB" w14:textId="77777777" w:rsidR="005C2EE9" w:rsidRDefault="00E350AE">
      <w:pPr>
        <w:pStyle w:val="Heading7"/>
      </w:pPr>
      <w:r>
        <w:t>Evidentiary Record</w:t>
      </w:r>
    </w:p>
    <w:p w14:paraId="60BF1561" w14:textId="75C8CF14" w:rsidR="005C2EE9" w:rsidRDefault="00E350AE">
      <w:pPr>
        <w:pStyle w:val="FOFNumbered"/>
      </w:pPr>
      <w:r>
        <w:t>In SOAH Order No. __ filed on ____, 202</w:t>
      </w:r>
      <w:r w:rsidR="002927ED">
        <w:t>4</w:t>
      </w:r>
      <w:r>
        <w:t xml:space="preserve">, the SOAH ALJ admitted the following into the evidentiary record: </w:t>
      </w:r>
    </w:p>
    <w:p w14:paraId="1DA40E1F" w14:textId="3701D5C4" w:rsidR="005C2EE9" w:rsidRDefault="00E350AE">
      <w:pPr>
        <w:pStyle w:val="FOFNumbered"/>
        <w:numPr>
          <w:ilvl w:val="0"/>
          <w:numId w:val="0"/>
        </w:numPr>
        <w:ind w:left="720"/>
      </w:pPr>
      <w:r>
        <w:t xml:space="preserve">(a) CenterPoint Houston’s application, including the direct testimonies, exhibits, and workpapers of Shea A. Richardson and Marvin D. Vaughn, </w:t>
      </w:r>
      <w:r w:rsidR="00F64783">
        <w:t>and the affidavits of</w:t>
      </w:r>
      <w:r w:rsidR="005075AB">
        <w:t xml:space="preserve"> Darrell Williams</w:t>
      </w:r>
      <w:r w:rsidR="00F64783">
        <w:t>, Jamie L. Mauldin and Alisa Tall</w:t>
      </w:r>
      <w:r w:rsidR="00703A10">
        <w:t>e</w:t>
      </w:r>
      <w:r w:rsidR="00F64783">
        <w:t xml:space="preserve">y included in the Company’s Application, filed on </w:t>
      </w:r>
      <w:r w:rsidR="002927ED">
        <w:t>May 31</w:t>
      </w:r>
      <w:r w:rsidR="00F64783">
        <w:t>, 202</w:t>
      </w:r>
      <w:r w:rsidR="002927ED">
        <w:t>4</w:t>
      </w:r>
    </w:p>
    <w:p w14:paraId="39BE739C" w14:textId="0B3D9E11" w:rsidR="005C2EE9" w:rsidRDefault="00E350AE">
      <w:pPr>
        <w:pStyle w:val="FOFNumbered"/>
        <w:numPr>
          <w:ilvl w:val="0"/>
          <w:numId w:val="0"/>
        </w:numPr>
        <w:ind w:left="720"/>
      </w:pPr>
      <w:r>
        <w:t xml:space="preserve">(b) CenterPoint Houston’s affidavit of </w:t>
      </w:r>
      <w:r w:rsidR="005075AB">
        <w:t>Petra Custer</w:t>
      </w:r>
      <w:r>
        <w:t xml:space="preserve"> regarding notice, filed on June </w:t>
      </w:r>
      <w:r w:rsidR="0028184F">
        <w:t>5</w:t>
      </w:r>
      <w:r>
        <w:t>, 202</w:t>
      </w:r>
      <w:r w:rsidR="002927ED">
        <w:t>4</w:t>
      </w:r>
      <w:r>
        <w:t xml:space="preserve">; </w:t>
      </w:r>
    </w:p>
    <w:p w14:paraId="5A65F1ED" w14:textId="40E6AD83" w:rsidR="005C2EE9" w:rsidRDefault="00E350AE">
      <w:pPr>
        <w:pStyle w:val="FOFNumbered"/>
        <w:numPr>
          <w:ilvl w:val="0"/>
          <w:numId w:val="0"/>
        </w:numPr>
        <w:ind w:left="720"/>
      </w:pPr>
      <w:r>
        <w:t xml:space="preserve">(c) the </w:t>
      </w:r>
      <w:r w:rsidR="00B73908">
        <w:t>memorandum</w:t>
      </w:r>
      <w:r w:rsidR="00371570">
        <w:t>s</w:t>
      </w:r>
      <w:r>
        <w:t xml:space="preserve"> of _______ in support of the agreement, filed on ______, 202</w:t>
      </w:r>
      <w:r w:rsidR="002927ED">
        <w:t>4</w:t>
      </w:r>
      <w:r>
        <w:t xml:space="preserve">; and </w:t>
      </w:r>
    </w:p>
    <w:p w14:paraId="13FEEB2A" w14:textId="1A711833" w:rsidR="005C2EE9" w:rsidRDefault="00E350AE">
      <w:pPr>
        <w:pStyle w:val="FOFNumbered"/>
        <w:numPr>
          <w:ilvl w:val="0"/>
          <w:numId w:val="0"/>
        </w:numPr>
        <w:ind w:left="720"/>
      </w:pPr>
      <w:r>
        <w:t>(d) the agreement and attachments filed on ______, 202</w:t>
      </w:r>
      <w:r w:rsidR="002927ED">
        <w:t>4</w:t>
      </w:r>
      <w:r>
        <w:t>.</w:t>
      </w:r>
    </w:p>
    <w:p w14:paraId="35906A79" w14:textId="72F3976F" w:rsidR="005C2EE9" w:rsidRDefault="00E350AE">
      <w:pPr>
        <w:pStyle w:val="Heading7"/>
        <w:rPr>
          <w:rFonts w:eastAsia="Times New Roman"/>
          <w:snapToGrid w:val="0"/>
        </w:rPr>
      </w:pPr>
      <w:r>
        <w:rPr>
          <w:rFonts w:eastAsia="Times New Roman"/>
          <w:snapToGrid w:val="0"/>
        </w:rPr>
        <w:t>Energy</w:t>
      </w:r>
      <w:r w:rsidR="00D77128">
        <w:rPr>
          <w:rFonts w:eastAsia="Times New Roman"/>
          <w:snapToGrid w:val="0"/>
        </w:rPr>
        <w:t>-</w:t>
      </w:r>
      <w:r>
        <w:rPr>
          <w:rFonts w:eastAsia="Times New Roman"/>
          <w:snapToGrid w:val="0"/>
        </w:rPr>
        <w:t>Efficiency Goal</w:t>
      </w:r>
      <w:r w:rsidR="000C1E43">
        <w:rPr>
          <w:rFonts w:eastAsia="Times New Roman"/>
          <w:snapToGrid w:val="0"/>
        </w:rPr>
        <w:t>s</w:t>
      </w:r>
    </w:p>
    <w:p w14:paraId="005170FD" w14:textId="4BDEE483" w:rsidR="005C2EE9" w:rsidRDefault="00E350AE">
      <w:pPr>
        <w:pStyle w:val="FOFNumbered"/>
      </w:pPr>
      <w:r>
        <w:t>CenterPoint Houston’s summer weather-adjusted residential and commercial average annual peak demand for the previous five years (201</w:t>
      </w:r>
      <w:r w:rsidR="002927ED">
        <w:t>9</w:t>
      </w:r>
      <w:r>
        <w:t xml:space="preserve"> through 202</w:t>
      </w:r>
      <w:r w:rsidR="002927ED">
        <w:t>3</w:t>
      </w:r>
      <w:r>
        <w:t>) is </w:t>
      </w:r>
      <w:r w:rsidR="002927ED">
        <w:t>16,495 megawatts</w:t>
      </w:r>
      <w:r>
        <w:t xml:space="preserve"> (MW)</w:t>
      </w:r>
      <w:r w:rsidR="00D77128">
        <w:t xml:space="preserve"> at source</w:t>
      </w:r>
      <w:r>
        <w:t>.</w:t>
      </w:r>
    </w:p>
    <w:p w14:paraId="4F6842E5" w14:textId="270689CE" w:rsidR="005C2EE9" w:rsidRDefault="00E350AE">
      <w:pPr>
        <w:pStyle w:val="FOFNumbered"/>
      </w:pPr>
      <w:r>
        <w:t xml:space="preserve">CenterPoint Houston’s </w:t>
      </w:r>
      <w:r w:rsidR="00D77128">
        <w:t>calculated</w:t>
      </w:r>
      <w:r w:rsidR="00AF3E14">
        <w:t xml:space="preserve"> </w:t>
      </w:r>
      <w:r>
        <w:t xml:space="preserve">demand-reduction </w:t>
      </w:r>
      <w:r w:rsidR="00D77128">
        <w:t>for program year 202</w:t>
      </w:r>
      <w:r w:rsidR="002927ED">
        <w:t>5</w:t>
      </w:r>
      <w:r w:rsidR="00F64783">
        <w:t>—</w:t>
      </w:r>
      <w:r>
        <w:t>four-tenths of 1% of CenterPoint Houston’s summer weather</w:t>
      </w:r>
      <w:r>
        <w:noBreakHyphen/>
        <w:t>adjusted peak demand for residential and commercial customers</w:t>
      </w:r>
      <w:r w:rsidR="00F64783">
        <w:t>—</w:t>
      </w:r>
      <w:r>
        <w:t>is 6</w:t>
      </w:r>
      <w:r w:rsidR="008F6ACE">
        <w:t>6.26</w:t>
      </w:r>
      <w:r>
        <w:t xml:space="preserve"> MW.</w:t>
      </w:r>
    </w:p>
    <w:p w14:paraId="6DDB32BE" w14:textId="65D34E9D" w:rsidR="005C2EE9" w:rsidRDefault="00E350AE">
      <w:pPr>
        <w:pStyle w:val="FOFNumbered"/>
      </w:pPr>
      <w:r>
        <w:t xml:space="preserve">In CenterPoint Houston’s </w:t>
      </w:r>
      <w:r w:rsidR="00AF3E14">
        <w:t>most recent</w:t>
      </w:r>
      <w:r>
        <w:t xml:space="preserve"> EECRF proceeding, Docket No. 5</w:t>
      </w:r>
      <w:r w:rsidR="002927ED">
        <w:t>5088</w:t>
      </w:r>
      <w:r>
        <w:t>, the Commission approved a demand-reduction goal of 6</w:t>
      </w:r>
      <w:r w:rsidR="002927ED">
        <w:t>6.26</w:t>
      </w:r>
      <w:r>
        <w:t xml:space="preserve"> MW.</w:t>
      </w:r>
    </w:p>
    <w:p w14:paraId="0D368C4D" w14:textId="7474FA7D" w:rsidR="005C2EE9" w:rsidRDefault="00E350AE">
      <w:pPr>
        <w:pStyle w:val="FOFNumbered"/>
      </w:pPr>
      <w:r>
        <w:t>Because the calculated demand reduction goal of 6</w:t>
      </w:r>
      <w:r w:rsidR="002927ED">
        <w:t>5.98</w:t>
      </w:r>
      <w:r>
        <w:t xml:space="preserve"> MW </w:t>
      </w:r>
      <w:r w:rsidR="002927ED">
        <w:t>is less than</w:t>
      </w:r>
      <w:r>
        <w:t xml:space="preserve"> CenterPoint Houston’s program year 202</w:t>
      </w:r>
      <w:r w:rsidR="002927ED">
        <w:t>4</w:t>
      </w:r>
      <w:r>
        <w:t xml:space="preserve"> demand reduction goal of 6</w:t>
      </w:r>
      <w:r w:rsidR="002927ED">
        <w:t>6.26</w:t>
      </w:r>
      <w:r>
        <w:t xml:space="preserve"> MW, CenterPoint Houston</w:t>
      </w:r>
      <w:r w:rsidR="002927ED">
        <w:t>’s</w:t>
      </w:r>
      <w:r>
        <w:t xml:space="preserve"> demand reduction goal </w:t>
      </w:r>
      <w:r w:rsidR="002927ED">
        <w:t>will remain</w:t>
      </w:r>
      <w:r>
        <w:t xml:space="preserve"> 6</w:t>
      </w:r>
      <w:r w:rsidR="008F6ACE">
        <w:t>6.26</w:t>
      </w:r>
      <w:r>
        <w:t xml:space="preserve"> MW for program year 202</w:t>
      </w:r>
      <w:r w:rsidR="002927ED">
        <w:t>5</w:t>
      </w:r>
      <w:r>
        <w:t>.</w:t>
      </w:r>
    </w:p>
    <w:p w14:paraId="00B12165" w14:textId="6D2AE7EE" w:rsidR="005C2EE9" w:rsidRDefault="00E350AE">
      <w:pPr>
        <w:pStyle w:val="FOFNumbered"/>
      </w:pPr>
      <w:r>
        <w:t xml:space="preserve">CenterPoint Houston projects that it will achieve </w:t>
      </w:r>
      <w:r w:rsidR="008F6ACE">
        <w:t>2</w:t>
      </w:r>
      <w:r w:rsidR="00CB1A65">
        <w:t>41</w:t>
      </w:r>
      <w:r w:rsidR="008F6ACE">
        <w:t>.</w:t>
      </w:r>
      <w:r w:rsidR="00CB1A65">
        <w:t>36</w:t>
      </w:r>
      <w:r>
        <w:t xml:space="preserve"> MW in demand reductions in program year 202</w:t>
      </w:r>
      <w:r w:rsidR="00CB1A65">
        <w:t>5</w:t>
      </w:r>
      <w:r>
        <w:t>, which exceeds the demand-reduction goal of 6</w:t>
      </w:r>
      <w:r w:rsidR="008F6ACE">
        <w:t>6.26</w:t>
      </w:r>
      <w:r>
        <w:t xml:space="preserve"> MW.</w:t>
      </w:r>
    </w:p>
    <w:p w14:paraId="265AD4BE" w14:textId="2CE05307" w:rsidR="005C2EE9" w:rsidRDefault="00E350AE">
      <w:pPr>
        <w:pStyle w:val="FOFNumbered"/>
      </w:pPr>
      <w:bookmarkStart w:id="0" w:name="_Hlk15476653"/>
      <w:r>
        <w:t xml:space="preserve">The estimated </w:t>
      </w:r>
      <w:r w:rsidR="00AF3E14">
        <w:t xml:space="preserve">demand </w:t>
      </w:r>
      <w:r>
        <w:t>savings to be achieved through CenterPoint Houston’s 202</w:t>
      </w:r>
      <w:r w:rsidR="00CB1A65">
        <w:t>5</w:t>
      </w:r>
      <w:r>
        <w:t xml:space="preserve"> programs for hard-to-reach customers is </w:t>
      </w:r>
      <w:r w:rsidR="000B2D42" w:rsidRPr="005C5452">
        <w:t>6.5</w:t>
      </w:r>
      <w:r w:rsidRPr="00E10C62">
        <w:t xml:space="preserve"> MW, which is </w:t>
      </w:r>
      <w:r w:rsidR="000B2D42" w:rsidRPr="005C5452">
        <w:t>9.8</w:t>
      </w:r>
      <w:r w:rsidRPr="005C5452">
        <w:t>%</w:t>
      </w:r>
      <w:r>
        <w:t xml:space="preserve"> of the proposed goal of 6</w:t>
      </w:r>
      <w:r w:rsidR="008F6ACE">
        <w:t>6.26</w:t>
      </w:r>
      <w:r>
        <w:t xml:space="preserve"> MW</w:t>
      </w:r>
      <w:bookmarkEnd w:id="0"/>
      <w:r>
        <w:t>.  The amount exceeds the 5% minimum required by 16 TAC § 25.181(e)(3)(F).</w:t>
      </w:r>
    </w:p>
    <w:p w14:paraId="731FD819" w14:textId="265FBEEB" w:rsidR="00AF3E14" w:rsidRDefault="00AF3E14">
      <w:pPr>
        <w:pStyle w:val="FOFNumbered"/>
      </w:pPr>
      <w:r>
        <w:t>CenterPoint Houston’s energy-savings goal for program year 202</w:t>
      </w:r>
      <w:r w:rsidR="00CB1A65">
        <w:t>5</w:t>
      </w:r>
      <w:r>
        <w:t xml:space="preserve"> is 116,088 megawatt-hours (MWh), calculated from its demand-savings goal.</w:t>
      </w:r>
    </w:p>
    <w:p w14:paraId="05A04795" w14:textId="7E4615CF" w:rsidR="005C2EE9" w:rsidRDefault="00E350AE">
      <w:pPr>
        <w:pStyle w:val="FOFNumbered"/>
      </w:pPr>
      <w:r>
        <w:t xml:space="preserve">CenterPoint Houston </w:t>
      </w:r>
      <w:r w:rsidR="00AF3E14">
        <w:t xml:space="preserve">forecasts </w:t>
      </w:r>
      <w:r>
        <w:t>that</w:t>
      </w:r>
      <w:r w:rsidR="00AF3E14">
        <w:t xml:space="preserve"> </w:t>
      </w:r>
      <w:r>
        <w:t>it will achieve energy savings of 2</w:t>
      </w:r>
      <w:r w:rsidR="00DA5BB0">
        <w:t>51,105</w:t>
      </w:r>
      <w:r>
        <w:t xml:space="preserve"> megawatt</w:t>
      </w:r>
      <w:r>
        <w:noBreakHyphen/>
        <w:t>hours (MWh) in program year 202</w:t>
      </w:r>
      <w:r w:rsidR="00DA5BB0">
        <w:t>5</w:t>
      </w:r>
      <w:r>
        <w:t>, which exceeds the minimum of 11</w:t>
      </w:r>
      <w:r w:rsidR="008F6ACE">
        <w:t>6</w:t>
      </w:r>
      <w:r>
        <w:t>,0</w:t>
      </w:r>
      <w:r w:rsidR="008F6ACE">
        <w:t>8</w:t>
      </w:r>
      <w:r>
        <w:t>8 MWh.</w:t>
      </w:r>
    </w:p>
    <w:p w14:paraId="70E6D3D7" w14:textId="77777777" w:rsidR="005C2EE9" w:rsidRDefault="00E350AE">
      <w:pPr>
        <w:pStyle w:val="Heading7"/>
        <w:rPr>
          <w:rFonts w:eastAsia="Times New Roman"/>
          <w:snapToGrid w:val="0"/>
        </w:rPr>
      </w:pPr>
      <w:r>
        <w:t>Agreement</w:t>
      </w:r>
    </w:p>
    <w:p w14:paraId="6259C3D8" w14:textId="7F905D0F" w:rsidR="005C2EE9" w:rsidRDefault="00E350AE">
      <w:pPr>
        <w:pStyle w:val="FOFNumbered"/>
      </w:pPr>
      <w:r>
        <w:t>Under the agreement, CenterPoint Houston’s EECRF will recover $</w:t>
      </w:r>
      <w:r w:rsidR="00DA5BB0">
        <w:t>62,740,346</w:t>
      </w:r>
      <w:r>
        <w:t>, during program year 202</w:t>
      </w:r>
      <w:r w:rsidR="00DA5BB0">
        <w:t>5</w:t>
      </w:r>
      <w:r>
        <w:t>, which includes:</w:t>
      </w:r>
    </w:p>
    <w:p w14:paraId="28BB2AE2" w14:textId="490B3F18" w:rsidR="005C2EE9" w:rsidRDefault="00E350AE">
      <w:pPr>
        <w:spacing w:after="120"/>
        <w:ind w:left="1440" w:hanging="720"/>
        <w:jc w:val="both"/>
        <w:rPr>
          <w:rFonts w:eastAsia="Times New Roman"/>
          <w:snapToGrid w:val="0"/>
        </w:rPr>
      </w:pPr>
      <w:r>
        <w:rPr>
          <w:rFonts w:eastAsia="Times New Roman"/>
          <w:snapToGrid w:val="0"/>
        </w:rPr>
        <w:t>(a)</w:t>
      </w:r>
      <w:r>
        <w:rPr>
          <w:rFonts w:eastAsia="Times New Roman"/>
          <w:snapToGrid w:val="0"/>
        </w:rPr>
        <w:tab/>
        <w:t xml:space="preserve">CenterPoint Houston’s forecasted energy-efficiency costs of </w:t>
      </w:r>
      <w:r>
        <w:t>$</w:t>
      </w:r>
      <w:r w:rsidR="00DA5BB0">
        <w:t xml:space="preserve">47,682,074 </w:t>
      </w:r>
      <w:r>
        <w:rPr>
          <w:rFonts w:eastAsia="Times New Roman"/>
          <w:snapToGrid w:val="0"/>
        </w:rPr>
        <w:t>in program year 202</w:t>
      </w:r>
      <w:r w:rsidR="00DA5BB0">
        <w:rPr>
          <w:rFonts w:eastAsia="Times New Roman"/>
          <w:snapToGrid w:val="0"/>
        </w:rPr>
        <w:t>5</w:t>
      </w:r>
      <w:r>
        <w:rPr>
          <w:rFonts w:eastAsia="Times New Roman"/>
          <w:snapToGrid w:val="0"/>
        </w:rPr>
        <w:t>;</w:t>
      </w:r>
    </w:p>
    <w:p w14:paraId="2F68EBC8" w14:textId="03FCF699" w:rsidR="005C2EE9" w:rsidRDefault="00E350AE">
      <w:pPr>
        <w:spacing w:before="120" w:after="120"/>
        <w:ind w:left="1440" w:hanging="720"/>
        <w:jc w:val="both"/>
        <w:rPr>
          <w:rFonts w:eastAsia="Times New Roman"/>
          <w:snapToGrid w:val="0"/>
        </w:rPr>
      </w:pPr>
      <w:r>
        <w:rPr>
          <w:rFonts w:eastAsia="Times New Roman"/>
          <w:snapToGrid w:val="0"/>
        </w:rPr>
        <w:t>(b)</w:t>
      </w:r>
      <w:r>
        <w:rPr>
          <w:rFonts w:eastAsia="Times New Roman"/>
          <w:snapToGrid w:val="0"/>
        </w:rPr>
        <w:tab/>
        <w:t xml:space="preserve">Projected EM&amp;V expenses in the amount of </w:t>
      </w:r>
      <w:r>
        <w:t>$</w:t>
      </w:r>
      <w:r w:rsidR="008F6ACE">
        <w:t xml:space="preserve">524,366 </w:t>
      </w:r>
      <w:r>
        <w:rPr>
          <w:rFonts w:eastAsia="Times New Roman"/>
          <w:snapToGrid w:val="0"/>
        </w:rPr>
        <w:t>for the evaluation of program year 202</w:t>
      </w:r>
      <w:r w:rsidR="00DA5BB0">
        <w:rPr>
          <w:rFonts w:eastAsia="Times New Roman"/>
          <w:snapToGrid w:val="0"/>
        </w:rPr>
        <w:t>5</w:t>
      </w:r>
      <w:r>
        <w:rPr>
          <w:rFonts w:eastAsia="Times New Roman"/>
          <w:snapToGrid w:val="0"/>
        </w:rPr>
        <w:t>;</w:t>
      </w:r>
    </w:p>
    <w:p w14:paraId="672A1CAA" w14:textId="67B74090" w:rsidR="005C2EE9" w:rsidRDefault="00E350AE">
      <w:pPr>
        <w:spacing w:before="120" w:after="120"/>
        <w:ind w:left="1440" w:hanging="720"/>
        <w:jc w:val="both"/>
        <w:rPr>
          <w:rFonts w:eastAsia="Times New Roman"/>
          <w:snapToGrid w:val="0"/>
        </w:rPr>
      </w:pPr>
      <w:r>
        <w:rPr>
          <w:rFonts w:eastAsia="Times New Roman"/>
          <w:snapToGrid w:val="0"/>
        </w:rPr>
        <w:t>(c)</w:t>
      </w:r>
      <w:r>
        <w:rPr>
          <w:rFonts w:eastAsia="Times New Roman"/>
          <w:snapToGrid w:val="0"/>
        </w:rPr>
        <w:tab/>
      </w:r>
      <w:r w:rsidR="001A37A8">
        <w:rPr>
          <w:rFonts w:eastAsia="Times New Roman"/>
          <w:snapToGrid w:val="0"/>
        </w:rPr>
        <w:t xml:space="preserve">A </w:t>
      </w:r>
      <w:r w:rsidR="008F6ACE">
        <w:rPr>
          <w:rFonts w:eastAsia="Times New Roman"/>
          <w:snapToGrid w:val="0"/>
        </w:rPr>
        <w:t>credit of $</w:t>
      </w:r>
      <w:r w:rsidR="00DA5BB0">
        <w:t>512,486</w:t>
      </w:r>
      <w:r w:rsidR="008F6ACE">
        <w:t xml:space="preserve"> for </w:t>
      </w:r>
      <w:r w:rsidR="008F6ACE">
        <w:rPr>
          <w:rFonts w:eastAsia="Times New Roman"/>
          <w:snapToGrid w:val="0"/>
        </w:rPr>
        <w:t>CenterPoint Houston’s net over-recovery,</w:t>
      </w:r>
      <w:r w:rsidR="00DA5BB0">
        <w:rPr>
          <w:rFonts w:eastAsia="Times New Roman"/>
          <w:snapToGrid w:val="0"/>
        </w:rPr>
        <w:t xml:space="preserve"> and a credit for </w:t>
      </w:r>
      <w:r w:rsidR="008F6ACE">
        <w:t xml:space="preserve">interest </w:t>
      </w:r>
      <w:r w:rsidR="00DA5BB0">
        <w:t>on that over-recovery of</w:t>
      </w:r>
      <w:r w:rsidR="008F6ACE">
        <w:t xml:space="preserve"> $</w:t>
      </w:r>
      <w:r w:rsidR="00DA5BB0">
        <w:t>31,509</w:t>
      </w:r>
      <w:r w:rsidR="00F64783">
        <w:t xml:space="preserve"> </w:t>
      </w:r>
      <w:r w:rsidR="008F6ACE">
        <w:t>of</w:t>
      </w:r>
      <w:r w:rsidR="008F6ACE">
        <w:rPr>
          <w:rFonts w:eastAsia="Times New Roman"/>
          <w:snapToGrid w:val="0"/>
        </w:rPr>
        <w:t xml:space="preserve"> program year 202</w:t>
      </w:r>
      <w:r w:rsidR="00DA5BB0">
        <w:rPr>
          <w:rFonts w:eastAsia="Times New Roman"/>
          <w:snapToGrid w:val="0"/>
        </w:rPr>
        <w:t>3</w:t>
      </w:r>
      <w:r w:rsidR="008F6ACE">
        <w:rPr>
          <w:rFonts w:eastAsia="Times New Roman"/>
          <w:snapToGrid w:val="0"/>
        </w:rPr>
        <w:t xml:space="preserve"> energy</w:t>
      </w:r>
      <w:r w:rsidR="008F6ACE">
        <w:rPr>
          <w:rFonts w:eastAsia="Times New Roman"/>
          <w:snapToGrid w:val="0"/>
        </w:rPr>
        <w:noBreakHyphen/>
        <w:t>efficiency costs</w:t>
      </w:r>
      <w:r>
        <w:rPr>
          <w:rFonts w:eastAsia="Times New Roman"/>
          <w:snapToGrid w:val="0"/>
        </w:rPr>
        <w:t>;</w:t>
      </w:r>
    </w:p>
    <w:p w14:paraId="559A8AC3" w14:textId="581BC518" w:rsidR="005C2EE9" w:rsidRDefault="00E350AE">
      <w:pPr>
        <w:spacing w:before="120" w:after="120"/>
        <w:ind w:left="1440" w:hanging="720"/>
        <w:jc w:val="both"/>
        <w:rPr>
          <w:rFonts w:eastAsia="Times New Roman"/>
          <w:snapToGrid w:val="0"/>
        </w:rPr>
      </w:pPr>
      <w:r>
        <w:rPr>
          <w:rFonts w:eastAsia="Times New Roman"/>
          <w:snapToGrid w:val="0"/>
        </w:rPr>
        <w:t>(d)</w:t>
      </w:r>
      <w:r>
        <w:rPr>
          <w:rFonts w:eastAsia="Times New Roman"/>
          <w:snapToGrid w:val="0"/>
        </w:rPr>
        <w:tab/>
        <w:t xml:space="preserve">A performance bonus of </w:t>
      </w:r>
      <w:r>
        <w:t>$</w:t>
      </w:r>
      <w:r w:rsidR="00DA5BB0">
        <w:t>15,032,510</w:t>
      </w:r>
      <w:r>
        <w:rPr>
          <w:rFonts w:eastAsia="Times New Roman"/>
          <w:snapToGrid w:val="0"/>
        </w:rPr>
        <w:t>; and</w:t>
      </w:r>
    </w:p>
    <w:p w14:paraId="15AF5892" w14:textId="228C7B81" w:rsidR="00371570" w:rsidRPr="00371570" w:rsidRDefault="00E350AE" w:rsidP="00371570">
      <w:pPr>
        <w:ind w:left="1440" w:hanging="720"/>
        <w:jc w:val="both"/>
        <w:rPr>
          <w:rFonts w:eastAsia="Times New Roman"/>
        </w:rPr>
      </w:pPr>
      <w:r>
        <w:rPr>
          <w:rFonts w:eastAsia="Times New Roman"/>
          <w:snapToGrid w:val="0"/>
        </w:rPr>
        <w:t>(e)</w:t>
      </w:r>
      <w:r>
        <w:rPr>
          <w:rFonts w:eastAsia="Times New Roman"/>
          <w:snapToGrid w:val="0"/>
        </w:rPr>
        <w:tab/>
        <w:t xml:space="preserve">Rate-case expenses in the amounts of </w:t>
      </w:r>
      <w:r w:rsidR="00CF265E">
        <w:rPr>
          <w:rFonts w:eastAsia="Times New Roman"/>
          <w:snapToGrid w:val="0"/>
        </w:rPr>
        <w:t>$</w:t>
      </w:r>
      <w:r w:rsidR="00DA5BB0">
        <w:t xml:space="preserve">28,653.20 </w:t>
      </w:r>
      <w:r w:rsidR="00CF265E">
        <w:rPr>
          <w:rFonts w:eastAsia="Times New Roman"/>
          <w:snapToGrid w:val="0"/>
        </w:rPr>
        <w:t>incurred by CenterPoint Houston, $</w:t>
      </w:r>
      <w:r w:rsidR="00DA5BB0">
        <w:t>9,</w:t>
      </w:r>
      <w:r w:rsidR="00D80C7C">
        <w:t>43</w:t>
      </w:r>
      <w:r w:rsidR="0087319D">
        <w:t>7.</w:t>
      </w:r>
      <w:r w:rsidR="0099683C">
        <w:t>5</w:t>
      </w:r>
      <w:r w:rsidR="0087319D">
        <w:t>0</w:t>
      </w:r>
      <w:r w:rsidR="00DA5BB0">
        <w:t xml:space="preserve"> </w:t>
      </w:r>
      <w:r w:rsidR="00CF265E">
        <w:rPr>
          <w:rFonts w:eastAsia="Times New Roman"/>
          <w:snapToGrid w:val="0"/>
        </w:rPr>
        <w:t>incurred by GCCC, and $</w:t>
      </w:r>
      <w:r w:rsidR="00DA5BB0">
        <w:t xml:space="preserve">7,510 </w:t>
      </w:r>
      <w:r w:rsidR="00CF265E">
        <w:rPr>
          <w:rFonts w:eastAsia="Times New Roman"/>
          <w:snapToGrid w:val="0"/>
        </w:rPr>
        <w:t>incurred by the City of Houston</w:t>
      </w:r>
      <w:r>
        <w:rPr>
          <w:rFonts w:eastAsia="Times New Roman"/>
          <w:snapToGrid w:val="0"/>
        </w:rPr>
        <w:t xml:space="preserve"> in Docket No. 5</w:t>
      </w:r>
      <w:r w:rsidR="00DA5BB0">
        <w:rPr>
          <w:rFonts w:eastAsia="Times New Roman"/>
          <w:snapToGrid w:val="0"/>
        </w:rPr>
        <w:t>5088</w:t>
      </w:r>
      <w:r>
        <w:rPr>
          <w:rFonts w:eastAsia="Times New Roman"/>
          <w:snapToGrid w:val="0"/>
        </w:rPr>
        <w:t>.</w:t>
      </w:r>
      <w:r w:rsidR="00371570">
        <w:rPr>
          <w:rFonts w:eastAsia="Times New Roman"/>
          <w:snapToGrid w:val="0"/>
        </w:rPr>
        <w:t xml:space="preserve">  Finding of fact 37</w:t>
      </w:r>
      <w:r w:rsidR="00371570" w:rsidRPr="00371570">
        <w:rPr>
          <w:rFonts w:eastAsia="Times New Roman"/>
          <w:snapToGrid w:val="0"/>
        </w:rPr>
        <w:t xml:space="preserve"> </w:t>
      </w:r>
      <w:r w:rsidR="00371570">
        <w:rPr>
          <w:rFonts w:eastAsia="Times New Roman"/>
          <w:snapToGrid w:val="0"/>
        </w:rPr>
        <w:t>addresses an</w:t>
      </w:r>
      <w:r w:rsidR="00371570" w:rsidRPr="00371570">
        <w:rPr>
          <w:rFonts w:eastAsia="Times New Roman"/>
        </w:rPr>
        <w:t xml:space="preserve"> adjustment of $210 </w:t>
      </w:r>
      <w:r w:rsidR="00371570">
        <w:rPr>
          <w:rFonts w:eastAsia="Times New Roman"/>
        </w:rPr>
        <w:t xml:space="preserve">to the total rate-case expense amount approved in this proceeding </w:t>
      </w:r>
      <w:r w:rsidR="00371570" w:rsidRPr="00371570">
        <w:rPr>
          <w:rFonts w:eastAsia="Times New Roman"/>
        </w:rPr>
        <w:t>to correct a billing error related to a 2022 EECRF invoice not related to the reasonableness of 2023 rate case expenses.</w:t>
      </w:r>
    </w:p>
    <w:p w14:paraId="7B7952B5" w14:textId="6FB8708F" w:rsidR="005C2EE9" w:rsidRDefault="00E350AE">
      <w:pPr>
        <w:pStyle w:val="FOFNumbered"/>
        <w:spacing w:before="240"/>
      </w:pPr>
      <w:r>
        <w:t>Under the agreement, a $</w:t>
      </w:r>
      <w:r w:rsidR="00CF265E">
        <w:t>2</w:t>
      </w:r>
      <w:r w:rsidR="00DA5BB0">
        <w:t>,500</w:t>
      </w:r>
      <w:r>
        <w:t>,000 reduction to CenterPoint Houston’s EECRF revenue requirement</w:t>
      </w:r>
      <w:r w:rsidR="00CF265E">
        <w:t xml:space="preserve"> </w:t>
      </w:r>
      <w:r w:rsidR="00DA5BB0">
        <w:t xml:space="preserve">reflects the removal of the Company’s Aggregated Distributed Energy Resource (“ADER”) Research and Development Project from the Company’s planned 2025 energy efficiency program portfolio.  </w:t>
      </w:r>
      <w:r>
        <w:t>Under the agreement, actual energy efficiency expenses and EECRF tariff recoveries for the program year 202</w:t>
      </w:r>
      <w:r w:rsidR="00DA5BB0">
        <w:t>5</w:t>
      </w:r>
      <w:r>
        <w:t xml:space="preserve"> will be reconciled consistent with the Commission’s Energy Efficiency Rules in a future EECRF filing.  Consistent with the Commission’s Energy Efficiency Rules, actual 202</w:t>
      </w:r>
      <w:r w:rsidR="00DA5BB0">
        <w:t>5</w:t>
      </w:r>
      <w:r>
        <w:t xml:space="preserve"> energy efficiency program costs may be more or less than the budgeted amount reflected in the agreement.</w:t>
      </w:r>
    </w:p>
    <w:p w14:paraId="494A196C" w14:textId="06DA6B57" w:rsidR="003E6C02" w:rsidRDefault="003E6C02">
      <w:pPr>
        <w:pStyle w:val="FOFNumbered"/>
      </w:pPr>
      <w:r>
        <w:t xml:space="preserve">The agreement recognizes that CenterPoint Houston’s total 2023 rate case expense amount of $45,391 includes an adjustment of $210 to correct a billing error related to a 2022 EECRF invoice and that does not relate to the reasonableness of any Signatory’s 2023 rate case expenses.  </w:t>
      </w:r>
    </w:p>
    <w:p w14:paraId="7866EFCC" w14:textId="57112F22" w:rsidR="005C2EE9" w:rsidRDefault="00E350AE">
      <w:pPr>
        <w:pStyle w:val="FOFNumbered"/>
      </w:pPr>
      <w:r>
        <w:t>The agreement provides an effective date of March 1, 202</w:t>
      </w:r>
      <w:r w:rsidR="00DA5BB0">
        <w:t>5</w:t>
      </w:r>
      <w:r>
        <w:t xml:space="preserve"> for CenterPoint Houston’s program year 202</w:t>
      </w:r>
      <w:r w:rsidR="00DA5BB0">
        <w:t>5</w:t>
      </w:r>
      <w:r>
        <w:t xml:space="preserve"> EECRF tariff rider.</w:t>
      </w:r>
    </w:p>
    <w:p w14:paraId="200A63AA" w14:textId="19A8D37D" w:rsidR="005C2EE9" w:rsidRDefault="00E350AE">
      <w:pPr>
        <w:pStyle w:val="FOFNumbered"/>
      </w:pPr>
      <w:r>
        <w:t>Under the agreement, CenterPoint Houston’s filing of the revised tariff will be made at least 45 days in advance of the tariff’s ‎effective date, March 1, 202</w:t>
      </w:r>
      <w:r w:rsidR="00DA5BB0">
        <w:t>5</w:t>
      </w:r>
      <w:r>
        <w:t>.  CenterPoint Houston’s filing of the tariff will be ‎within 10 days of the Commission’s issuance of a final order in this proceeding.  ‎CenterPoint Houston will serve notice of the approved rates and effective date of the ‎approved rates to the retail electric providers that are authorized to provide service in ‎CenterPoint Houston’s service area by the working day after CenterPoint Houston ‎files the revised tariff with the Commission.‎</w:t>
      </w:r>
    </w:p>
    <w:p w14:paraId="499E42A7" w14:textId="77777777" w:rsidR="005C2EE9" w:rsidRDefault="00E350AE">
      <w:pPr>
        <w:pStyle w:val="FOFNumbered"/>
        <w:keepNext/>
        <w:spacing w:after="120"/>
      </w:pPr>
      <w:r>
        <w:t>Under the agreement, CenterPoint Houston’s EECRF charges per kWh by rate class are as follows:</w:t>
      </w:r>
    </w:p>
    <w:tbl>
      <w:tblPr>
        <w:tblStyle w:val="TableGrid1"/>
        <w:tblW w:w="0" w:type="auto"/>
        <w:tblInd w:w="828" w:type="dxa"/>
        <w:tblLook w:val="04A0" w:firstRow="1" w:lastRow="0" w:firstColumn="1" w:lastColumn="0" w:noHBand="0" w:noVBand="1"/>
      </w:tblPr>
      <w:tblGrid>
        <w:gridCol w:w="4477"/>
        <w:gridCol w:w="2160"/>
        <w:gridCol w:w="1530"/>
      </w:tblGrid>
      <w:tr w:rsidR="005C2EE9" w14:paraId="239997A5" w14:textId="77777777">
        <w:tc>
          <w:tcPr>
            <w:tcW w:w="4477" w:type="dxa"/>
            <w:vAlign w:val="center"/>
          </w:tcPr>
          <w:p w14:paraId="576FEEF6" w14:textId="77777777" w:rsidR="005C2EE9" w:rsidRDefault="00E350AE">
            <w:pPr>
              <w:keepNext/>
              <w:keepLines/>
              <w:tabs>
                <w:tab w:val="center" w:pos="4680"/>
              </w:tabs>
              <w:rPr>
                <w:b/>
                <w:snapToGrid w:val="0"/>
                <w:sz w:val="22"/>
                <w:szCs w:val="22"/>
              </w:rPr>
            </w:pPr>
            <w:r>
              <w:rPr>
                <w:b/>
                <w:sz w:val="24"/>
                <w:szCs w:val="24"/>
              </w:rPr>
              <w:t>Rate Class</w:t>
            </w:r>
          </w:p>
        </w:tc>
        <w:tc>
          <w:tcPr>
            <w:tcW w:w="2160" w:type="dxa"/>
            <w:vAlign w:val="center"/>
          </w:tcPr>
          <w:p w14:paraId="7C2F3B97" w14:textId="77777777" w:rsidR="005C2EE9" w:rsidRDefault="00E350AE">
            <w:pPr>
              <w:keepNext/>
              <w:keepLines/>
              <w:tabs>
                <w:tab w:val="center" w:pos="4680"/>
              </w:tabs>
              <w:jc w:val="center"/>
              <w:rPr>
                <w:b/>
                <w:snapToGrid w:val="0"/>
                <w:sz w:val="22"/>
                <w:szCs w:val="22"/>
              </w:rPr>
            </w:pPr>
            <w:r>
              <w:rPr>
                <w:b/>
                <w:sz w:val="24"/>
                <w:szCs w:val="24"/>
              </w:rPr>
              <w:t>EECRF Charge</w:t>
            </w:r>
          </w:p>
        </w:tc>
        <w:tc>
          <w:tcPr>
            <w:tcW w:w="1530" w:type="dxa"/>
            <w:vAlign w:val="center"/>
          </w:tcPr>
          <w:p w14:paraId="3B0E0319" w14:textId="77777777" w:rsidR="005C2EE9" w:rsidRDefault="00E350AE">
            <w:pPr>
              <w:keepNext/>
              <w:keepLines/>
              <w:tabs>
                <w:tab w:val="center" w:pos="4680"/>
              </w:tabs>
              <w:jc w:val="center"/>
              <w:rPr>
                <w:b/>
                <w:snapToGrid w:val="0"/>
                <w:sz w:val="22"/>
                <w:szCs w:val="22"/>
              </w:rPr>
            </w:pPr>
            <w:r>
              <w:rPr>
                <w:b/>
                <w:sz w:val="24"/>
                <w:szCs w:val="24"/>
              </w:rPr>
              <w:t>Billing Unit</w:t>
            </w:r>
          </w:p>
        </w:tc>
      </w:tr>
      <w:tr w:rsidR="00E10C62" w14:paraId="36844ED1" w14:textId="77777777">
        <w:tc>
          <w:tcPr>
            <w:tcW w:w="4477" w:type="dxa"/>
            <w:vAlign w:val="center"/>
          </w:tcPr>
          <w:p w14:paraId="565B6C4F" w14:textId="77777777" w:rsidR="00E10C62" w:rsidRDefault="00E10C62" w:rsidP="00E10C62">
            <w:pPr>
              <w:keepNext/>
              <w:keepLines/>
              <w:tabs>
                <w:tab w:val="center" w:pos="4680"/>
              </w:tabs>
              <w:rPr>
                <w:snapToGrid w:val="0"/>
                <w:sz w:val="22"/>
                <w:szCs w:val="22"/>
              </w:rPr>
            </w:pPr>
            <w:r>
              <w:rPr>
                <w:sz w:val="24"/>
                <w:szCs w:val="24"/>
              </w:rPr>
              <w:t>Residential</w:t>
            </w:r>
          </w:p>
        </w:tc>
        <w:tc>
          <w:tcPr>
            <w:tcW w:w="2160" w:type="dxa"/>
            <w:vAlign w:val="center"/>
          </w:tcPr>
          <w:p w14:paraId="0C56E499" w14:textId="2A05BEBC" w:rsidR="00E10C62" w:rsidRPr="005C5452" w:rsidRDefault="00E10C62" w:rsidP="00E10C62">
            <w:pPr>
              <w:keepNext/>
              <w:keepLines/>
              <w:tabs>
                <w:tab w:val="center" w:pos="4680"/>
              </w:tabs>
              <w:jc w:val="center"/>
              <w:rPr>
                <w:snapToGrid w:val="0"/>
                <w:sz w:val="22"/>
                <w:szCs w:val="22"/>
              </w:rPr>
            </w:pPr>
            <w:r w:rsidRPr="005C5452">
              <w:rPr>
                <w:sz w:val="24"/>
                <w:szCs w:val="24"/>
              </w:rPr>
              <w:t>$</w:t>
            </w:r>
            <w:r w:rsidR="001B1937" w:rsidRPr="005C5452">
              <w:rPr>
                <w:sz w:val="24"/>
                <w:szCs w:val="24"/>
              </w:rPr>
              <w:t>0.000930</w:t>
            </w:r>
          </w:p>
        </w:tc>
        <w:tc>
          <w:tcPr>
            <w:tcW w:w="1530" w:type="dxa"/>
            <w:vAlign w:val="center"/>
          </w:tcPr>
          <w:p w14:paraId="7C8C8983" w14:textId="77777777" w:rsidR="00E10C62" w:rsidRDefault="00E10C62" w:rsidP="00E10C62">
            <w:pPr>
              <w:keepNext/>
              <w:keepLines/>
              <w:tabs>
                <w:tab w:val="center" w:pos="4680"/>
              </w:tabs>
              <w:jc w:val="center"/>
              <w:rPr>
                <w:snapToGrid w:val="0"/>
                <w:sz w:val="22"/>
                <w:szCs w:val="22"/>
              </w:rPr>
            </w:pPr>
            <w:r>
              <w:rPr>
                <w:sz w:val="24"/>
                <w:szCs w:val="24"/>
              </w:rPr>
              <w:t>per kWh</w:t>
            </w:r>
          </w:p>
        </w:tc>
      </w:tr>
      <w:tr w:rsidR="00E10C62" w14:paraId="68E7018D" w14:textId="77777777">
        <w:tc>
          <w:tcPr>
            <w:tcW w:w="4477" w:type="dxa"/>
            <w:vAlign w:val="center"/>
          </w:tcPr>
          <w:p w14:paraId="0CD074E1" w14:textId="114D3C5E" w:rsidR="00E10C62" w:rsidRDefault="00E10C62" w:rsidP="00E10C62">
            <w:pPr>
              <w:keepNext/>
              <w:keepLines/>
              <w:tabs>
                <w:tab w:val="center" w:pos="4680"/>
              </w:tabs>
              <w:rPr>
                <w:snapToGrid w:val="0"/>
                <w:sz w:val="22"/>
                <w:szCs w:val="22"/>
              </w:rPr>
            </w:pPr>
            <w:r>
              <w:rPr>
                <w:sz w:val="24"/>
                <w:szCs w:val="24"/>
              </w:rPr>
              <w:t xml:space="preserve">Secondary ≤ 10 </w:t>
            </w:r>
            <w:r w:rsidR="009B0417">
              <w:rPr>
                <w:sz w:val="24"/>
                <w:szCs w:val="24"/>
              </w:rPr>
              <w:t>kVA</w:t>
            </w:r>
          </w:p>
        </w:tc>
        <w:tc>
          <w:tcPr>
            <w:tcW w:w="2160" w:type="dxa"/>
            <w:vAlign w:val="center"/>
          </w:tcPr>
          <w:p w14:paraId="3420A41F" w14:textId="02BA833D" w:rsidR="00E10C62" w:rsidRPr="005C5452" w:rsidRDefault="00E10C62" w:rsidP="00E10C62">
            <w:pPr>
              <w:keepNext/>
              <w:keepLines/>
              <w:tabs>
                <w:tab w:val="center" w:pos="4680"/>
              </w:tabs>
              <w:jc w:val="center"/>
              <w:rPr>
                <w:snapToGrid w:val="0"/>
                <w:sz w:val="22"/>
                <w:szCs w:val="22"/>
              </w:rPr>
            </w:pPr>
            <w:r w:rsidRPr="005C5452">
              <w:rPr>
                <w:sz w:val="24"/>
                <w:szCs w:val="24"/>
              </w:rPr>
              <w:t>$</w:t>
            </w:r>
            <w:r w:rsidR="001B1937" w:rsidRPr="005C5452">
              <w:rPr>
                <w:sz w:val="24"/>
                <w:szCs w:val="24"/>
              </w:rPr>
              <w:t>0.003119</w:t>
            </w:r>
          </w:p>
        </w:tc>
        <w:tc>
          <w:tcPr>
            <w:tcW w:w="1530" w:type="dxa"/>
            <w:vAlign w:val="center"/>
          </w:tcPr>
          <w:p w14:paraId="6344FE92" w14:textId="77777777" w:rsidR="00E10C62" w:rsidRDefault="00E10C62" w:rsidP="00E10C62">
            <w:pPr>
              <w:keepNext/>
              <w:keepLines/>
              <w:tabs>
                <w:tab w:val="center" w:pos="4680"/>
              </w:tabs>
              <w:jc w:val="center"/>
              <w:rPr>
                <w:snapToGrid w:val="0"/>
                <w:sz w:val="22"/>
                <w:szCs w:val="22"/>
              </w:rPr>
            </w:pPr>
            <w:r>
              <w:rPr>
                <w:sz w:val="24"/>
                <w:szCs w:val="24"/>
              </w:rPr>
              <w:t>per kWh</w:t>
            </w:r>
          </w:p>
        </w:tc>
      </w:tr>
      <w:tr w:rsidR="00E10C62" w14:paraId="168E2B37" w14:textId="77777777">
        <w:tc>
          <w:tcPr>
            <w:tcW w:w="4477" w:type="dxa"/>
            <w:vAlign w:val="center"/>
          </w:tcPr>
          <w:p w14:paraId="01336840" w14:textId="77777777" w:rsidR="00E10C62" w:rsidRDefault="00E10C62" w:rsidP="00E10C62">
            <w:pPr>
              <w:keepNext/>
              <w:keepLines/>
              <w:tabs>
                <w:tab w:val="center" w:pos="4680"/>
              </w:tabs>
              <w:rPr>
                <w:snapToGrid w:val="0"/>
                <w:sz w:val="22"/>
                <w:szCs w:val="22"/>
              </w:rPr>
            </w:pPr>
            <w:r>
              <w:rPr>
                <w:sz w:val="24"/>
                <w:szCs w:val="24"/>
              </w:rPr>
              <w:t xml:space="preserve">Secondary ≥ 10 kVA </w:t>
            </w:r>
          </w:p>
        </w:tc>
        <w:tc>
          <w:tcPr>
            <w:tcW w:w="2160" w:type="dxa"/>
            <w:vAlign w:val="center"/>
          </w:tcPr>
          <w:p w14:paraId="2C33138D" w14:textId="75274AAC" w:rsidR="00E10C62" w:rsidRPr="005C5452" w:rsidRDefault="00E10C62" w:rsidP="00E10C62">
            <w:pPr>
              <w:keepNext/>
              <w:keepLines/>
              <w:tabs>
                <w:tab w:val="center" w:pos="4680"/>
              </w:tabs>
              <w:jc w:val="center"/>
              <w:rPr>
                <w:snapToGrid w:val="0"/>
                <w:sz w:val="22"/>
                <w:szCs w:val="22"/>
              </w:rPr>
            </w:pPr>
            <w:r w:rsidRPr="005C5452">
              <w:rPr>
                <w:sz w:val="24"/>
                <w:szCs w:val="24"/>
              </w:rPr>
              <w:t>$</w:t>
            </w:r>
            <w:r w:rsidR="001B1937" w:rsidRPr="005C5452">
              <w:rPr>
                <w:sz w:val="24"/>
                <w:szCs w:val="24"/>
              </w:rPr>
              <w:t>0.000720</w:t>
            </w:r>
          </w:p>
        </w:tc>
        <w:tc>
          <w:tcPr>
            <w:tcW w:w="1530" w:type="dxa"/>
            <w:vAlign w:val="center"/>
          </w:tcPr>
          <w:p w14:paraId="3E81D9D2" w14:textId="77777777" w:rsidR="00E10C62" w:rsidRDefault="00E10C62" w:rsidP="00E10C62">
            <w:pPr>
              <w:keepNext/>
              <w:keepLines/>
              <w:tabs>
                <w:tab w:val="center" w:pos="4680"/>
              </w:tabs>
              <w:jc w:val="center"/>
              <w:rPr>
                <w:snapToGrid w:val="0"/>
                <w:sz w:val="22"/>
                <w:szCs w:val="22"/>
              </w:rPr>
            </w:pPr>
            <w:r>
              <w:rPr>
                <w:sz w:val="24"/>
                <w:szCs w:val="24"/>
              </w:rPr>
              <w:t>per kWh</w:t>
            </w:r>
          </w:p>
        </w:tc>
      </w:tr>
      <w:tr w:rsidR="00E10C62" w14:paraId="70583925" w14:textId="77777777">
        <w:tc>
          <w:tcPr>
            <w:tcW w:w="4477" w:type="dxa"/>
            <w:vAlign w:val="center"/>
          </w:tcPr>
          <w:p w14:paraId="671C9793" w14:textId="77777777" w:rsidR="00E10C62" w:rsidRDefault="00E10C62" w:rsidP="00E10C62">
            <w:pPr>
              <w:keepNext/>
              <w:keepLines/>
              <w:tabs>
                <w:tab w:val="center" w:pos="4680"/>
              </w:tabs>
              <w:rPr>
                <w:snapToGrid w:val="0"/>
                <w:sz w:val="22"/>
                <w:szCs w:val="22"/>
              </w:rPr>
            </w:pPr>
            <w:r>
              <w:rPr>
                <w:sz w:val="24"/>
                <w:szCs w:val="24"/>
              </w:rPr>
              <w:t>Primary</w:t>
            </w:r>
          </w:p>
        </w:tc>
        <w:tc>
          <w:tcPr>
            <w:tcW w:w="2160" w:type="dxa"/>
            <w:vAlign w:val="center"/>
          </w:tcPr>
          <w:p w14:paraId="4EEFBDE4" w14:textId="337460B3" w:rsidR="00E10C62" w:rsidRPr="005C5452" w:rsidRDefault="00E10C62" w:rsidP="00E10C62">
            <w:pPr>
              <w:keepNext/>
              <w:keepLines/>
              <w:tabs>
                <w:tab w:val="center" w:pos="4680"/>
              </w:tabs>
              <w:jc w:val="center"/>
              <w:rPr>
                <w:snapToGrid w:val="0"/>
                <w:sz w:val="22"/>
                <w:szCs w:val="22"/>
              </w:rPr>
            </w:pPr>
            <w:r w:rsidRPr="005C5452">
              <w:rPr>
                <w:sz w:val="24"/>
                <w:szCs w:val="24"/>
              </w:rPr>
              <w:t>$</w:t>
            </w:r>
            <w:r w:rsidR="001B1937" w:rsidRPr="005C5452">
              <w:rPr>
                <w:sz w:val="24"/>
                <w:szCs w:val="24"/>
              </w:rPr>
              <w:t>0.001059</w:t>
            </w:r>
          </w:p>
        </w:tc>
        <w:tc>
          <w:tcPr>
            <w:tcW w:w="1530" w:type="dxa"/>
            <w:vAlign w:val="center"/>
          </w:tcPr>
          <w:p w14:paraId="5E54A559" w14:textId="77777777" w:rsidR="00E10C62" w:rsidRDefault="00E10C62" w:rsidP="00E10C62">
            <w:pPr>
              <w:keepNext/>
              <w:keepLines/>
              <w:tabs>
                <w:tab w:val="center" w:pos="4680"/>
              </w:tabs>
              <w:jc w:val="center"/>
              <w:rPr>
                <w:snapToGrid w:val="0"/>
                <w:sz w:val="22"/>
                <w:szCs w:val="22"/>
              </w:rPr>
            </w:pPr>
            <w:r>
              <w:rPr>
                <w:sz w:val="24"/>
                <w:szCs w:val="24"/>
              </w:rPr>
              <w:t>per kWh</w:t>
            </w:r>
          </w:p>
        </w:tc>
      </w:tr>
      <w:tr w:rsidR="00E10C62" w14:paraId="4EBA217B" w14:textId="77777777">
        <w:tc>
          <w:tcPr>
            <w:tcW w:w="4477" w:type="dxa"/>
            <w:vAlign w:val="center"/>
          </w:tcPr>
          <w:p w14:paraId="03953D47" w14:textId="77777777" w:rsidR="00E10C62" w:rsidRDefault="00E10C62" w:rsidP="00E10C62">
            <w:pPr>
              <w:keepNext/>
              <w:keepLines/>
              <w:tabs>
                <w:tab w:val="center" w:pos="4680"/>
              </w:tabs>
              <w:spacing w:line="276" w:lineRule="auto"/>
              <w:rPr>
                <w:sz w:val="24"/>
                <w:szCs w:val="24"/>
              </w:rPr>
            </w:pPr>
            <w:r>
              <w:rPr>
                <w:sz w:val="24"/>
                <w:szCs w:val="24"/>
              </w:rPr>
              <w:t>Transmission – Non-profit governmental</w:t>
            </w:r>
          </w:p>
        </w:tc>
        <w:tc>
          <w:tcPr>
            <w:tcW w:w="2160" w:type="dxa"/>
            <w:vAlign w:val="center"/>
          </w:tcPr>
          <w:p w14:paraId="0F5C7196" w14:textId="2CE31780" w:rsidR="00E10C62" w:rsidRPr="005C5452" w:rsidRDefault="00E10C62" w:rsidP="00E10C62">
            <w:pPr>
              <w:keepNext/>
              <w:keepLines/>
              <w:tabs>
                <w:tab w:val="center" w:pos="4680"/>
              </w:tabs>
              <w:jc w:val="center"/>
              <w:rPr>
                <w:snapToGrid w:val="0"/>
                <w:sz w:val="22"/>
                <w:szCs w:val="22"/>
              </w:rPr>
            </w:pPr>
            <w:r w:rsidRPr="005C5452">
              <w:rPr>
                <w:sz w:val="24"/>
                <w:szCs w:val="24"/>
              </w:rPr>
              <w:t>$</w:t>
            </w:r>
            <w:r w:rsidR="001B1937" w:rsidRPr="005C5452">
              <w:rPr>
                <w:sz w:val="24"/>
                <w:szCs w:val="24"/>
              </w:rPr>
              <w:t>0.000773</w:t>
            </w:r>
          </w:p>
        </w:tc>
        <w:tc>
          <w:tcPr>
            <w:tcW w:w="1530" w:type="dxa"/>
            <w:vAlign w:val="center"/>
          </w:tcPr>
          <w:p w14:paraId="687E4215" w14:textId="77777777" w:rsidR="00E10C62" w:rsidRDefault="00225FE0" w:rsidP="00E10C62">
            <w:pPr>
              <w:keepNext/>
              <w:keepLines/>
              <w:tabs>
                <w:tab w:val="center" w:pos="4680"/>
              </w:tabs>
              <w:jc w:val="center"/>
              <w:rPr>
                <w:snapToGrid w:val="0"/>
                <w:sz w:val="22"/>
                <w:szCs w:val="22"/>
              </w:rPr>
            </w:pPr>
            <w:r>
              <w:rPr>
                <w:sz w:val="24"/>
                <w:szCs w:val="24"/>
              </w:rPr>
              <w:pict w14:anchorId="08249792">
                <v:shapetype id="_x0000_t202" coordsize="21600,21600" o:spt="202" path="m,l,21600r21600,l21600,xe">
                  <v:stroke joinstyle="miter"/>
                  <v:path gradientshapeok="t" o:connecttype="rect"/>
                </v:shapetype>
                <v:shape id="Text Box 12" o:spid="_x0000_s2052" type="#_x0000_t202" alt="" style="position:absolute;left:0;text-align:left;margin-left:186.8pt;margin-top:-1.35pt;width:22.2pt;height:21.6pt;z-index:251660290;visibility:visible;mso-wrap-style:square;mso-wrap-edited:f;mso-width-percent:0;mso-height-percent:0;mso-position-horizontal-relative:text;mso-position-vertical-relative:text;mso-width-percent:0;mso-height-percent:0;mso-width-relative:margin;mso-height-relative:margin;v-text-anchor:top" fillcolor="white [3201]" stroked="f" strokeweight=".5pt">
                  <v:textbox style="mso-next-textbox:#Text Box 12">
                    <w:txbxContent>
                      <w:p w14:paraId="06B1727E" w14:textId="77777777" w:rsidR="00601224" w:rsidRDefault="00601224"/>
                    </w:txbxContent>
                  </v:textbox>
                </v:shape>
              </w:pict>
            </w:r>
            <w:r w:rsidR="00E10C62">
              <w:rPr>
                <w:sz w:val="24"/>
                <w:szCs w:val="24"/>
              </w:rPr>
              <w:t>per kWh</w:t>
            </w:r>
          </w:p>
        </w:tc>
      </w:tr>
      <w:tr w:rsidR="00E10C62" w14:paraId="380980DC" w14:textId="77777777">
        <w:tc>
          <w:tcPr>
            <w:tcW w:w="4477" w:type="dxa"/>
            <w:vAlign w:val="center"/>
          </w:tcPr>
          <w:p w14:paraId="55A33D34" w14:textId="77777777" w:rsidR="00E10C62" w:rsidRDefault="00E10C62" w:rsidP="00E10C62">
            <w:pPr>
              <w:keepNext/>
              <w:keepLines/>
              <w:tabs>
                <w:tab w:val="center" w:pos="4680"/>
              </w:tabs>
              <w:rPr>
                <w:snapToGrid w:val="0"/>
                <w:sz w:val="22"/>
                <w:szCs w:val="22"/>
              </w:rPr>
            </w:pPr>
            <w:r>
              <w:rPr>
                <w:sz w:val="24"/>
                <w:szCs w:val="24"/>
              </w:rPr>
              <w:t>Transmission – Industrial</w:t>
            </w:r>
          </w:p>
        </w:tc>
        <w:tc>
          <w:tcPr>
            <w:tcW w:w="2160" w:type="dxa"/>
            <w:vAlign w:val="center"/>
          </w:tcPr>
          <w:p w14:paraId="726FE5B4" w14:textId="4A8A3DE5" w:rsidR="00E10C62" w:rsidRPr="005C5452" w:rsidRDefault="001B1937" w:rsidP="00E10C62">
            <w:pPr>
              <w:keepNext/>
              <w:keepLines/>
              <w:tabs>
                <w:tab w:val="center" w:pos="4680"/>
              </w:tabs>
              <w:jc w:val="center"/>
              <w:rPr>
                <w:snapToGrid w:val="0"/>
                <w:sz w:val="22"/>
                <w:szCs w:val="22"/>
              </w:rPr>
            </w:pPr>
            <w:r w:rsidRPr="005C5452">
              <w:rPr>
                <w:sz w:val="24"/>
                <w:szCs w:val="24"/>
              </w:rPr>
              <w:t>(</w:t>
            </w:r>
            <w:r w:rsidR="00E10C62" w:rsidRPr="005C5452">
              <w:rPr>
                <w:sz w:val="24"/>
                <w:szCs w:val="24"/>
              </w:rPr>
              <w:t>$</w:t>
            </w:r>
            <w:r w:rsidRPr="005C5452">
              <w:rPr>
                <w:sz w:val="24"/>
                <w:szCs w:val="24"/>
              </w:rPr>
              <w:t>0.000001)</w:t>
            </w:r>
          </w:p>
        </w:tc>
        <w:tc>
          <w:tcPr>
            <w:tcW w:w="1530" w:type="dxa"/>
            <w:vAlign w:val="center"/>
          </w:tcPr>
          <w:p w14:paraId="49CC2739" w14:textId="77777777" w:rsidR="00E10C62" w:rsidRDefault="00E10C62" w:rsidP="00E10C62">
            <w:pPr>
              <w:keepNext/>
              <w:keepLines/>
              <w:tabs>
                <w:tab w:val="center" w:pos="4680"/>
              </w:tabs>
              <w:jc w:val="center"/>
              <w:rPr>
                <w:snapToGrid w:val="0"/>
                <w:sz w:val="22"/>
                <w:szCs w:val="22"/>
              </w:rPr>
            </w:pPr>
            <w:r>
              <w:rPr>
                <w:sz w:val="24"/>
                <w:szCs w:val="24"/>
              </w:rPr>
              <w:t>per kWh</w:t>
            </w:r>
            <w:r>
              <w:rPr>
                <w:b/>
                <w:noProof/>
                <w:sz w:val="24"/>
                <w:szCs w:val="24"/>
              </w:rPr>
              <w:t xml:space="preserve"> </w:t>
            </w:r>
            <w:r w:rsidR="00225FE0">
              <w:rPr>
                <w:sz w:val="24"/>
                <w:szCs w:val="24"/>
              </w:rPr>
              <w:pict w14:anchorId="7ED772CF">
                <v:shape id="_x0000_s2051" type="#_x0000_t202" alt="" style="position:absolute;left:0;text-align:left;margin-left:180.1pt;margin-top:-3.5pt;width:24pt;height:21pt;z-index:251661314;visibility:visible;mso-wrap-style:square;mso-wrap-edited:f;mso-width-percent:0;mso-height-percent:0;mso-position-horizontal-relative:text;mso-position-vertical-relative:text;mso-width-percent:0;mso-height-percent:0;mso-width-relative:margin;mso-height-relative:margin;v-text-anchor:top" filled="f" stroked="f">
                  <v:textbox style="mso-next-textbox:#_x0000_s2051;mso-fit-shape-to-text:t">
                    <w:txbxContent>
                      <w:p w14:paraId="73CB8735" w14:textId="77777777" w:rsidR="00601224" w:rsidRDefault="00601224"/>
                    </w:txbxContent>
                  </v:textbox>
                </v:shape>
              </w:pict>
            </w:r>
          </w:p>
        </w:tc>
      </w:tr>
      <w:tr w:rsidR="00E10C62" w14:paraId="7D3EEFAB" w14:textId="77777777">
        <w:tc>
          <w:tcPr>
            <w:tcW w:w="4477" w:type="dxa"/>
            <w:vAlign w:val="center"/>
          </w:tcPr>
          <w:p w14:paraId="5FA158E1" w14:textId="77777777" w:rsidR="00E10C62" w:rsidRDefault="00E10C62" w:rsidP="00E10C62">
            <w:pPr>
              <w:tabs>
                <w:tab w:val="center" w:pos="4680"/>
              </w:tabs>
              <w:rPr>
                <w:snapToGrid w:val="0"/>
                <w:sz w:val="22"/>
                <w:szCs w:val="22"/>
              </w:rPr>
            </w:pPr>
            <w:r>
              <w:rPr>
                <w:sz w:val="24"/>
                <w:szCs w:val="24"/>
              </w:rPr>
              <w:t>Lighting</w:t>
            </w:r>
          </w:p>
        </w:tc>
        <w:tc>
          <w:tcPr>
            <w:tcW w:w="2160" w:type="dxa"/>
            <w:vAlign w:val="center"/>
          </w:tcPr>
          <w:p w14:paraId="4BDB8B3A" w14:textId="45D62910" w:rsidR="00E10C62" w:rsidRPr="005C5452" w:rsidRDefault="00E10C62" w:rsidP="00E10C62">
            <w:pPr>
              <w:tabs>
                <w:tab w:val="center" w:pos="4680"/>
              </w:tabs>
              <w:jc w:val="center"/>
              <w:rPr>
                <w:snapToGrid w:val="0"/>
                <w:sz w:val="22"/>
                <w:szCs w:val="22"/>
              </w:rPr>
            </w:pPr>
            <w:r w:rsidRPr="005C5452">
              <w:rPr>
                <w:sz w:val="24"/>
                <w:szCs w:val="24"/>
              </w:rPr>
              <w:t>N/A</w:t>
            </w:r>
          </w:p>
        </w:tc>
        <w:tc>
          <w:tcPr>
            <w:tcW w:w="1530" w:type="dxa"/>
            <w:vAlign w:val="center"/>
          </w:tcPr>
          <w:p w14:paraId="40790198" w14:textId="77777777" w:rsidR="00E10C62" w:rsidRDefault="00225FE0" w:rsidP="00E10C62">
            <w:pPr>
              <w:tabs>
                <w:tab w:val="center" w:pos="4680"/>
              </w:tabs>
              <w:jc w:val="center"/>
              <w:rPr>
                <w:snapToGrid w:val="0"/>
                <w:sz w:val="22"/>
                <w:szCs w:val="22"/>
              </w:rPr>
            </w:pPr>
            <w:r>
              <w:rPr>
                <w:sz w:val="24"/>
                <w:szCs w:val="24"/>
              </w:rPr>
              <w:pict w14:anchorId="2A5C66F0">
                <v:shape id="_x0000_s2050" type="#_x0000_t202" alt="" style="position:absolute;left:0;text-align:left;margin-left:183.35pt;margin-top:-5.45pt;width:24pt;height:21pt;z-index:251662338;visibility:visible;mso-wrap-style:square;mso-wrap-edited:f;mso-width-percent:0;mso-height-percent:0;mso-position-horizontal-relative:text;mso-position-vertical-relative:text;mso-width-percent:0;mso-height-percent:0;mso-width-relative:margin;mso-height-relative:margin;v-text-anchor:top" filled="f" stroked="f">
                  <v:textbox style="mso-next-textbox:#_x0000_s2050;mso-fit-shape-to-text:t">
                    <w:txbxContent>
                      <w:p w14:paraId="71FB1D37" w14:textId="77777777" w:rsidR="00601224" w:rsidRDefault="00601224"/>
                    </w:txbxContent>
                  </v:textbox>
                </v:shape>
              </w:pict>
            </w:r>
            <w:r w:rsidR="00E10C62">
              <w:rPr>
                <w:snapToGrid w:val="0"/>
                <w:sz w:val="22"/>
                <w:szCs w:val="22"/>
              </w:rPr>
              <w:t>N/A</w:t>
            </w:r>
          </w:p>
        </w:tc>
      </w:tr>
    </w:tbl>
    <w:p w14:paraId="727D6FF3" w14:textId="3728A703" w:rsidR="005C2EE9" w:rsidRDefault="00E350AE">
      <w:pPr>
        <w:pStyle w:val="Heading7"/>
        <w:rPr>
          <w:rFonts w:eastAsia="Times New Roman"/>
          <w:snapToGrid w:val="0"/>
        </w:rPr>
      </w:pPr>
      <w:r>
        <w:rPr>
          <w:rFonts w:eastAsia="Times New Roman"/>
          <w:snapToGrid w:val="0"/>
        </w:rPr>
        <w:t xml:space="preserve">Elements of Recovery and Coordination of Base Rate Recovery </w:t>
      </w:r>
    </w:p>
    <w:p w14:paraId="513CAECB" w14:textId="254E1ADF" w:rsidR="005C2EE9" w:rsidRDefault="00E350AE">
      <w:pPr>
        <w:pStyle w:val="FOFNumbered"/>
      </w:pPr>
      <w:r>
        <w:t>CenterPoint Houston’s EECRF is calculated to re</w:t>
      </w:r>
      <w:r w:rsidR="00371570">
        <w:t>fund</w:t>
      </w:r>
      <w:r>
        <w:t xml:space="preserve"> the preceding year’s total </w:t>
      </w:r>
      <w:r w:rsidR="00371570">
        <w:t>over</w:t>
      </w:r>
      <w:r>
        <w:t xml:space="preserve">-recovery with the required interest payment as well as to recover CenterPoint Houston’s forecasted annual energy-efficiency program expenditures, a performance bonus, CenterPoint Houston’s, GCCC’s and City of Houston’s proceeding expenses from CenterPoint Houston’s immediately preceding EECRF docket, and EM&amp;V expenses allocated to CenterPoint Houston by the Commission.  </w:t>
      </w:r>
    </w:p>
    <w:p w14:paraId="200A82C8" w14:textId="77777777" w:rsidR="005C2EE9" w:rsidRDefault="00E350AE">
      <w:pPr>
        <w:pStyle w:val="FOFNumbered"/>
      </w:pPr>
      <w:r>
        <w:t>CenterPoint Houston does not recover any energy-efficiency costs in its base rates.</w:t>
      </w:r>
    </w:p>
    <w:p w14:paraId="4E47EEC0" w14:textId="77777777" w:rsidR="005C2EE9" w:rsidRDefault="00E350AE">
      <w:pPr>
        <w:pStyle w:val="FOFNumbered"/>
      </w:pPr>
      <w:r>
        <w:t>CenterPoint Houston’s EECRF is designed to provide only for energy charges for residential and commercial rate classes.</w:t>
      </w:r>
    </w:p>
    <w:p w14:paraId="389F0927" w14:textId="77777777" w:rsidR="005C2EE9" w:rsidRDefault="00E350AE">
      <w:pPr>
        <w:pStyle w:val="Heading7"/>
        <w:spacing w:before="240"/>
        <w:rPr>
          <w:rFonts w:eastAsia="Times New Roman"/>
          <w:snapToGrid w:val="0"/>
        </w:rPr>
      </w:pPr>
      <w:r>
        <w:rPr>
          <w:rFonts w:eastAsia="Times New Roman"/>
          <w:snapToGrid w:val="0"/>
        </w:rPr>
        <w:t>EECRF Cost Caps</w:t>
      </w:r>
    </w:p>
    <w:p w14:paraId="31EDB1CB" w14:textId="487ACB8E" w:rsidR="007A5231" w:rsidRDefault="007A5231">
      <w:pPr>
        <w:pStyle w:val="FOFNumbered"/>
      </w:pPr>
      <w:r>
        <w:t>CenterPoint Houston seeks to recover EECRF costs that are subject to cost caps adjusted by changes in the consumer price index.</w:t>
      </w:r>
    </w:p>
    <w:p w14:paraId="482EE8FF" w14:textId="6CDB1E89" w:rsidR="005C2EE9" w:rsidRDefault="00E350AE">
      <w:pPr>
        <w:pStyle w:val="FOFNumbered"/>
      </w:pPr>
      <w:r>
        <w:t>Before applying the consumer price index adjustment, CenterPoint Houston used a base cost cap of $0.</w:t>
      </w:r>
      <w:r w:rsidR="0018327B">
        <w:t>001556</w:t>
      </w:r>
      <w:r w:rsidR="00F70B68">
        <w:t xml:space="preserve"> </w:t>
      </w:r>
      <w:r>
        <w:t>per kWh for the residential class and $0.</w:t>
      </w:r>
      <w:r w:rsidR="0018327B">
        <w:t xml:space="preserve">000973 </w:t>
      </w:r>
      <w:r>
        <w:t xml:space="preserve">per kWh for the commercial classes. </w:t>
      </w:r>
      <w:r w:rsidR="00057E88">
        <w:t xml:space="preserve"> </w:t>
      </w:r>
      <w:r>
        <w:t>CenterPoint Houston calculated its EECRF cost caps for program year 202</w:t>
      </w:r>
      <w:r w:rsidR="009A1E82">
        <w:t>5</w:t>
      </w:r>
      <w:r>
        <w:t xml:space="preserve"> to be $0.00</w:t>
      </w:r>
      <w:r w:rsidR="009A1E82">
        <w:t>1626</w:t>
      </w:r>
      <w:r>
        <w:t xml:space="preserve"> per kWh for the residential class and $0.00</w:t>
      </w:r>
      <w:r w:rsidR="009A1E82">
        <w:t>1017</w:t>
      </w:r>
      <w:r>
        <w:t xml:space="preserve"> per kWh for the commercial classes.</w:t>
      </w:r>
    </w:p>
    <w:p w14:paraId="4AAD5195" w14:textId="78E9C135" w:rsidR="005C2EE9" w:rsidRDefault="00E350AE">
      <w:pPr>
        <w:pStyle w:val="FOFNumbered"/>
      </w:pPr>
      <w:r>
        <w:t>For purpose of the cost caps, CenterPoint Houston’s rate for the residential class is $0.</w:t>
      </w:r>
      <w:r w:rsidR="001B1937">
        <w:t>00</w:t>
      </w:r>
      <w:r w:rsidR="005D3C0A" w:rsidRPr="005C5452">
        <w:t>0923</w:t>
      </w:r>
      <w:r w:rsidRPr="00FA603B">
        <w:t xml:space="preserve"> per kWh and CenterPoint Houston’s group rate for the commercial classes is $0.</w:t>
      </w:r>
      <w:r w:rsidR="005D3C0A" w:rsidRPr="00FA603B">
        <w:t>00</w:t>
      </w:r>
      <w:r w:rsidR="005D3C0A">
        <w:t xml:space="preserve">0806 </w:t>
      </w:r>
      <w:r>
        <w:t>per kWh.</w:t>
      </w:r>
    </w:p>
    <w:p w14:paraId="761F9DE3" w14:textId="77777777" w:rsidR="005C2EE9" w:rsidRDefault="00E350AE">
      <w:pPr>
        <w:pStyle w:val="Heading7"/>
        <w:rPr>
          <w:rFonts w:eastAsia="Times New Roman"/>
          <w:snapToGrid w:val="0"/>
        </w:rPr>
      </w:pPr>
      <w:r>
        <w:rPr>
          <w:rFonts w:eastAsia="Times New Roman"/>
          <w:snapToGrid w:val="0"/>
        </w:rPr>
        <w:t>Over- or Under-Recovery</w:t>
      </w:r>
    </w:p>
    <w:p w14:paraId="35F908B9" w14:textId="1AFF7AD4" w:rsidR="005C2EE9" w:rsidRDefault="007A5231">
      <w:pPr>
        <w:pStyle w:val="FOFNumbered"/>
      </w:pPr>
      <w:r>
        <w:t>The difference between CenterPoint Houston’s actual EECRF revenues and its actual costs resulted in a net over-recovery for program year 202</w:t>
      </w:r>
      <w:r w:rsidR="008D3263">
        <w:t>3</w:t>
      </w:r>
      <w:r>
        <w:t>, and CenterPoint Houston requests to refund or collect the difference for each rate class</w:t>
      </w:r>
      <w:r w:rsidR="00E350AE">
        <w:t>.</w:t>
      </w:r>
    </w:p>
    <w:p w14:paraId="2DD07368" w14:textId="1C3F132F" w:rsidR="005C2EE9" w:rsidRDefault="00E350AE">
      <w:pPr>
        <w:pStyle w:val="FOFNumbered"/>
      </w:pPr>
      <w:r>
        <w:t xml:space="preserve">CenterPoint Houston accurately calculated its </w:t>
      </w:r>
      <w:r w:rsidR="00534286">
        <w:t>over</w:t>
      </w:r>
      <w:r>
        <w:t>-recovery of 202</w:t>
      </w:r>
      <w:r w:rsidR="008D3263">
        <w:t>3</w:t>
      </w:r>
      <w:r>
        <w:t xml:space="preserve"> program costs in the amount of $</w:t>
      </w:r>
      <w:r w:rsidR="008D3263">
        <w:t>512,486</w:t>
      </w:r>
      <w:r>
        <w:t xml:space="preserve"> plus $</w:t>
      </w:r>
      <w:r w:rsidR="008D3263">
        <w:t xml:space="preserve">31,509 </w:t>
      </w:r>
      <w:r>
        <w:t>in interest</w:t>
      </w:r>
      <w:r w:rsidR="007A5231">
        <w:t xml:space="preserve">, totaling </w:t>
      </w:r>
      <w:r w:rsidR="00BE68AB">
        <w:t>$</w:t>
      </w:r>
      <w:r w:rsidR="008D3263">
        <w:t>543,995</w:t>
      </w:r>
      <w:r w:rsidR="00F64783">
        <w:t>.</w:t>
      </w:r>
    </w:p>
    <w:p w14:paraId="30E81A39" w14:textId="77777777" w:rsidR="005C2EE9" w:rsidRDefault="00E350AE">
      <w:pPr>
        <w:pStyle w:val="Heading7"/>
        <w:rPr>
          <w:rFonts w:eastAsia="Times New Roman"/>
          <w:snapToGrid w:val="0"/>
        </w:rPr>
      </w:pPr>
      <w:r>
        <w:rPr>
          <w:rFonts w:eastAsia="Times New Roman"/>
          <w:snapToGrid w:val="0"/>
        </w:rPr>
        <w:t>Proceeding Expenses</w:t>
      </w:r>
    </w:p>
    <w:p w14:paraId="361D4310" w14:textId="1E103D25" w:rsidR="00BE68AB" w:rsidRDefault="00BE68AB" w:rsidP="008D3263">
      <w:pPr>
        <w:pStyle w:val="FOFNumbered"/>
      </w:pPr>
      <w:r>
        <w:t xml:space="preserve">In its application, CenterPoint Houston included the affidavits of Mr. </w:t>
      </w:r>
      <w:r w:rsidR="008D3263">
        <w:t>Darrell Williams</w:t>
      </w:r>
      <w:r>
        <w:t xml:space="preserve">, Counsel </w:t>
      </w:r>
      <w:r w:rsidR="008D3263">
        <w:t xml:space="preserve">I </w:t>
      </w:r>
      <w:r>
        <w:t>for CenterPoint Energy Service Company, LLC, Ms. Jamie Mauldin, principal attorney with the law firm of Lloyd Gosselink Rochelle and Townsend, P.C., and Ms. Alisa Tall</w:t>
      </w:r>
      <w:r w:rsidR="00371570">
        <w:t>e</w:t>
      </w:r>
      <w:r>
        <w:t xml:space="preserve">y, Division Manager with the City of Houston Administration and Regulatory Affairs.  The affidavits attest </w:t>
      </w:r>
      <w:r w:rsidR="0046269A">
        <w:t xml:space="preserve">to </w:t>
      </w:r>
      <w:r>
        <w:t>the reasonableness of 202</w:t>
      </w:r>
      <w:r w:rsidR="008D3263">
        <w:t>3</w:t>
      </w:r>
      <w:r>
        <w:t xml:space="preserve"> EECRF proceeding, Docket No. 5</w:t>
      </w:r>
      <w:r w:rsidR="008D3263">
        <w:t>5088</w:t>
      </w:r>
      <w:r>
        <w:t>, expenses for CenterPoint Houston, GCCC and the City of Houston</w:t>
      </w:r>
      <w:r w:rsidR="0046269A">
        <w:t>,</w:t>
      </w:r>
      <w:r>
        <w:t xml:space="preserve"> respectively.  In reaching their opinions on the reasonableness of rate case expenses, Mr. </w:t>
      </w:r>
      <w:r w:rsidR="008D3263">
        <w:t>Williams</w:t>
      </w:r>
      <w:r>
        <w:t>, Ms.</w:t>
      </w:r>
      <w:r w:rsidR="00174654">
        <w:t> </w:t>
      </w:r>
      <w:r>
        <w:t>Mauldin</w:t>
      </w:r>
      <w:r w:rsidR="0046269A">
        <w:t>,</w:t>
      </w:r>
      <w:r>
        <w:t xml:space="preserve"> and Ms. Tall</w:t>
      </w:r>
      <w:r w:rsidR="00371570">
        <w:t>e</w:t>
      </w:r>
      <w:r>
        <w:t xml:space="preserve">y relied on the factors in 16 TAC § 25.245(b).  In his affidavit, Mr. </w:t>
      </w:r>
      <w:r w:rsidR="008D3263">
        <w:t>Williams</w:t>
      </w:r>
      <w:r>
        <w:t xml:space="preserve"> stated that CenterPoint Houston’s rate case expenses in its immediately previous EECRF Proceeding, Docket No. 5</w:t>
      </w:r>
      <w:r w:rsidR="008D3263">
        <w:t>5088</w:t>
      </w:r>
      <w:r w:rsidR="0046269A">
        <w:t xml:space="preserve"> in the amount of $</w:t>
      </w:r>
      <w:r w:rsidR="008D3263">
        <w:t>28,653.20</w:t>
      </w:r>
      <w:r w:rsidR="0046269A">
        <w:t>, were reasonable and necessary.  In her affidavit, Ms. Mauldin stated that GCCC’s rate case expenses of $</w:t>
      </w:r>
      <w:r w:rsidR="008D3263">
        <w:t xml:space="preserve">9,437.50 </w:t>
      </w:r>
      <w:r w:rsidR="0046269A">
        <w:t>in Docket No. 5</w:t>
      </w:r>
      <w:r w:rsidR="008D3263">
        <w:t>5088</w:t>
      </w:r>
      <w:r w:rsidR="0046269A">
        <w:t>, were reasonable and necessary.  In her affidavit, Ms. Tall</w:t>
      </w:r>
      <w:r w:rsidR="00371570">
        <w:t>e</w:t>
      </w:r>
      <w:r w:rsidR="0046269A">
        <w:t>y stated that the City of Houston’s rate case expenses of $</w:t>
      </w:r>
      <w:r w:rsidR="008D3263">
        <w:t xml:space="preserve">7,510 </w:t>
      </w:r>
      <w:r w:rsidR="0046269A">
        <w:t>in Docket No. 5</w:t>
      </w:r>
      <w:r w:rsidR="008D3263">
        <w:t>5088</w:t>
      </w:r>
      <w:r w:rsidR="0046269A">
        <w:t xml:space="preserve"> were reasonable and necessary.</w:t>
      </w:r>
    </w:p>
    <w:p w14:paraId="5342D472" w14:textId="2B030610" w:rsidR="005C2EE9" w:rsidRDefault="00E350AE">
      <w:pPr>
        <w:pStyle w:val="FOFNumbered"/>
      </w:pPr>
      <w:r>
        <w:t>CenterPoint Houston’s rate-case expenses incurred in its 202</w:t>
      </w:r>
      <w:r w:rsidR="008D3263">
        <w:t>3</w:t>
      </w:r>
      <w:r>
        <w:t xml:space="preserve"> EECRF proceeding, Docket No. 5</w:t>
      </w:r>
      <w:r w:rsidR="008D3263">
        <w:t>5088</w:t>
      </w:r>
      <w:r>
        <w:t>, in the amount of $</w:t>
      </w:r>
      <w:r w:rsidR="008D3263">
        <w:t>28,653.20</w:t>
      </w:r>
      <w:r>
        <w:t>, were reasonable and necessary.</w:t>
      </w:r>
    </w:p>
    <w:p w14:paraId="45DD0E27" w14:textId="16CE6F5B" w:rsidR="005C2EE9" w:rsidRDefault="00E350AE">
      <w:pPr>
        <w:pStyle w:val="FOFNumbered"/>
      </w:pPr>
      <w:r>
        <w:t>GCCC’s rate case expenses incurred in Docket No. 5</w:t>
      </w:r>
      <w:r w:rsidR="008D3263">
        <w:t>5088</w:t>
      </w:r>
      <w:r>
        <w:t xml:space="preserve"> in the amount of $</w:t>
      </w:r>
      <w:r w:rsidR="008D3263">
        <w:t>9,437.50</w:t>
      </w:r>
      <w:r w:rsidR="00416B75">
        <w:t xml:space="preserve">, </w:t>
      </w:r>
      <w:r>
        <w:t>were reasonable and necessary.</w:t>
      </w:r>
    </w:p>
    <w:p w14:paraId="4C74C7DB" w14:textId="1E1905BA" w:rsidR="005C2EE9" w:rsidRDefault="00E350AE">
      <w:pPr>
        <w:pStyle w:val="FOFNumbered"/>
      </w:pPr>
      <w:r>
        <w:t>The City of Houston’s rate case expenses incurred in Docket No. 5</w:t>
      </w:r>
      <w:r w:rsidR="008D3263">
        <w:t>5088</w:t>
      </w:r>
      <w:r>
        <w:t xml:space="preserve"> in the amount of $</w:t>
      </w:r>
      <w:r w:rsidR="008D3263">
        <w:t>7,510</w:t>
      </w:r>
      <w:r w:rsidR="00416B75">
        <w:t xml:space="preserve">, </w:t>
      </w:r>
      <w:r>
        <w:t>were reasonable and necessary.</w:t>
      </w:r>
    </w:p>
    <w:p w14:paraId="372406A8" w14:textId="77777777" w:rsidR="005C2EE9" w:rsidRDefault="00E350AE">
      <w:pPr>
        <w:pStyle w:val="Heading7"/>
        <w:rPr>
          <w:rFonts w:eastAsia="Times New Roman"/>
          <w:snapToGrid w:val="0"/>
        </w:rPr>
      </w:pPr>
      <w:r>
        <w:rPr>
          <w:rFonts w:eastAsia="Times New Roman"/>
          <w:snapToGrid w:val="0"/>
        </w:rPr>
        <w:t>Performance Bonus Calculation</w:t>
      </w:r>
    </w:p>
    <w:p w14:paraId="7C203CA9" w14:textId="4F3A852C" w:rsidR="005C2EE9" w:rsidRDefault="00E350AE">
      <w:pPr>
        <w:pStyle w:val="FOFNumbered"/>
      </w:pPr>
      <w:r>
        <w:t>In 202</w:t>
      </w:r>
      <w:r w:rsidR="008D3263">
        <w:t>3</w:t>
      </w:r>
      <w:r>
        <w:t xml:space="preserve">, CenterPoint Houston’s </w:t>
      </w:r>
      <w:r w:rsidR="00502954">
        <w:t>energy efficiency programs realized $1</w:t>
      </w:r>
      <w:r w:rsidR="008D3263">
        <w:t>50,325,098</w:t>
      </w:r>
      <w:r w:rsidR="00502954">
        <w:t xml:space="preserve"> in net benefits, calculated as the difference between $2</w:t>
      </w:r>
      <w:r w:rsidR="008D3263">
        <w:t>13,590,916</w:t>
      </w:r>
      <w:r w:rsidR="00502954">
        <w:t xml:space="preserve"> in total avoided costs associated with its 202</w:t>
      </w:r>
      <w:r w:rsidR="008D3263">
        <w:t>3</w:t>
      </w:r>
      <w:r w:rsidR="00502954">
        <w:t xml:space="preserve"> programs and</w:t>
      </w:r>
      <w:r>
        <w:t xml:space="preserve"> $</w:t>
      </w:r>
      <w:r w:rsidR="008D3263">
        <w:t>63,265,81</w:t>
      </w:r>
      <w:r w:rsidR="001B1937" w:rsidRPr="005C5452">
        <w:t>9</w:t>
      </w:r>
      <w:r w:rsidR="00502954">
        <w:t xml:space="preserve"> in 202</w:t>
      </w:r>
      <w:r w:rsidR="008D3263">
        <w:t>3</w:t>
      </w:r>
      <w:r w:rsidR="00502954">
        <w:t xml:space="preserve"> program costs that include the performance bonus for 202</w:t>
      </w:r>
      <w:r w:rsidR="001B1937">
        <w:t>2</w:t>
      </w:r>
      <w:r>
        <w:t>.</w:t>
      </w:r>
    </w:p>
    <w:p w14:paraId="5614DC24" w14:textId="7DDB44E0" w:rsidR="00502954" w:rsidRDefault="00502954">
      <w:pPr>
        <w:pStyle w:val="FOFNumbered"/>
      </w:pPr>
      <w:r>
        <w:t>In 202</w:t>
      </w:r>
      <w:r w:rsidR="008D3263">
        <w:t>3</w:t>
      </w:r>
      <w:r>
        <w:t>, CenterPoint Houston’s energy-efficiency programs achieved 2</w:t>
      </w:r>
      <w:r w:rsidR="008B3D00">
        <w:t>53,362</w:t>
      </w:r>
      <w:r>
        <w:t xml:space="preserve"> in demand savings</w:t>
      </w:r>
      <w:r w:rsidR="004328E0">
        <w:t xml:space="preserve"> and </w:t>
      </w:r>
      <w:r w:rsidR="008B3D00">
        <w:t>186,110,161</w:t>
      </w:r>
      <w:r w:rsidR="004328E0">
        <w:t xml:space="preserve"> in energy savings, exceeding its 6</w:t>
      </w:r>
      <w:r w:rsidR="008B3D00">
        <w:t>5,090</w:t>
      </w:r>
      <w:r w:rsidR="004328E0">
        <w:t xml:space="preserve"> MW demand-reduction goal and 11</w:t>
      </w:r>
      <w:r w:rsidR="008B3D00">
        <w:t>4,037,680</w:t>
      </w:r>
      <w:r w:rsidR="004328E0">
        <w:t xml:space="preserve"> MWh energy-reduction goal.</w:t>
      </w:r>
    </w:p>
    <w:p w14:paraId="6396F6F7" w14:textId="38BB383A" w:rsidR="004328E0" w:rsidRDefault="004328E0">
      <w:pPr>
        <w:pStyle w:val="FOFNumbered"/>
      </w:pPr>
      <w:r>
        <w:t>Because CenterPoint Houston exceeded its demand- and energy-reduction goals last year, CenterPoint Houston seeks a performance bonus equal to 1% of the net benefits for every 2% that it exceeded its demand-reduction goal, with a maximum of 10% of the utility’s total net benefits.</w:t>
      </w:r>
    </w:p>
    <w:p w14:paraId="0168E7B5" w14:textId="2574948C" w:rsidR="004328E0" w:rsidRDefault="004328E0">
      <w:pPr>
        <w:pStyle w:val="FOFNumbered"/>
      </w:pPr>
      <w:r>
        <w:t>CenterPoint Houston seeks the maximum allowable performance bonus.</w:t>
      </w:r>
    </w:p>
    <w:p w14:paraId="0473782F" w14:textId="3EDEC7A4" w:rsidR="004328E0" w:rsidRDefault="004328E0">
      <w:pPr>
        <w:pStyle w:val="FOFNumbered"/>
      </w:pPr>
      <w:r>
        <w:t>The resulting performance bonus from this calculation is $1</w:t>
      </w:r>
      <w:r w:rsidR="008B3D00">
        <w:t>5,032,510</w:t>
      </w:r>
      <w:r>
        <w:t xml:space="preserve"> and is allocated in proportion to the program costs for eligible customers on a rate-class basis.</w:t>
      </w:r>
    </w:p>
    <w:p w14:paraId="2C22B7BE" w14:textId="77777777" w:rsidR="005C2EE9" w:rsidRDefault="00E350AE">
      <w:pPr>
        <w:pStyle w:val="Heading7"/>
        <w:rPr>
          <w:rFonts w:eastAsia="Times New Roman"/>
          <w:snapToGrid w:val="0"/>
        </w:rPr>
      </w:pPr>
      <w:r>
        <w:rPr>
          <w:rFonts w:eastAsia="Times New Roman"/>
          <w:snapToGrid w:val="0"/>
        </w:rPr>
        <w:t xml:space="preserve">Evaluation, Measurement, and Verification Costs </w:t>
      </w:r>
    </w:p>
    <w:p w14:paraId="4AEFD0DC" w14:textId="7D05D763" w:rsidR="005C2EE9" w:rsidRDefault="00E350AE">
      <w:pPr>
        <w:pStyle w:val="FOFNumbered"/>
      </w:pPr>
      <w:r>
        <w:t>CenterPoint Houston’s share of the estimated total EM&amp;V costs for the evaluation of program year 202</w:t>
      </w:r>
      <w:r w:rsidR="008B3D00">
        <w:t>5</w:t>
      </w:r>
      <w:r>
        <w:t xml:space="preserve"> is $</w:t>
      </w:r>
      <w:r w:rsidR="00416B75">
        <w:t>524,366</w:t>
      </w:r>
      <w:r>
        <w:t>, and to the maximum extent reasonably possible, it is directly assigned to each rate class that receives services under its programs.</w:t>
      </w:r>
    </w:p>
    <w:p w14:paraId="6D2C63C8" w14:textId="77777777" w:rsidR="005C2EE9" w:rsidRDefault="00E350AE">
      <w:pPr>
        <w:pStyle w:val="Heading7"/>
        <w:rPr>
          <w:rFonts w:eastAsia="Times New Roman"/>
          <w:snapToGrid w:val="0"/>
        </w:rPr>
      </w:pPr>
      <w:r>
        <w:rPr>
          <w:rFonts w:eastAsia="Times New Roman"/>
          <w:snapToGrid w:val="0"/>
        </w:rPr>
        <w:t>Administrative and Research and Development Cost Caps</w:t>
      </w:r>
    </w:p>
    <w:p w14:paraId="7462572D" w14:textId="444B1D32" w:rsidR="004328E0" w:rsidRDefault="00E350AE">
      <w:pPr>
        <w:pStyle w:val="FOFNumbered"/>
      </w:pPr>
      <w:r>
        <w:t>CenterPoint Houston incurred $</w:t>
      </w:r>
      <w:r w:rsidR="008B3D00">
        <w:t>3,053,079</w:t>
      </w:r>
      <w:r>
        <w:t xml:space="preserve"> in administrative costs and $</w:t>
      </w:r>
      <w:r w:rsidR="00444E19">
        <w:t>0</w:t>
      </w:r>
      <w:r>
        <w:t xml:space="preserve"> in research and development costs for the 202</w:t>
      </w:r>
      <w:r w:rsidR="008B3D00">
        <w:t>3</w:t>
      </w:r>
      <w:r>
        <w:t xml:space="preserve"> energy</w:t>
      </w:r>
      <w:r>
        <w:noBreakHyphen/>
        <w:t xml:space="preserve">efficiency programs to meet CenterPoint Houston’s goals.  </w:t>
      </w:r>
    </w:p>
    <w:p w14:paraId="5AFCE405" w14:textId="70836B38" w:rsidR="005C2EE9" w:rsidRDefault="00E350AE">
      <w:pPr>
        <w:pStyle w:val="FOFNumbered"/>
      </w:pPr>
      <w:r>
        <w:t xml:space="preserve">CenterPoint Houston’s cumulative cost of the adjusted administration and research and development costs </w:t>
      </w:r>
      <w:r w:rsidR="004328E0">
        <w:t>in 202</w:t>
      </w:r>
      <w:r w:rsidR="008B3D00">
        <w:t>3</w:t>
      </w:r>
      <w:r w:rsidR="004328E0">
        <w:t xml:space="preserve"> were</w:t>
      </w:r>
      <w:r>
        <w:t xml:space="preserve"> approximately </w:t>
      </w:r>
      <w:r w:rsidR="006D3F5B" w:rsidRPr="005C5452">
        <w:t>7.72</w:t>
      </w:r>
      <w:r>
        <w:t>% of the total adjusted program costs</w:t>
      </w:r>
      <w:r w:rsidR="004328E0">
        <w:t xml:space="preserve"> and did not exceed the 15% cap on administrative costs or 20% cap on the cumulative cost of administration and research and development</w:t>
      </w:r>
      <w:r>
        <w:t>.</w:t>
      </w:r>
    </w:p>
    <w:p w14:paraId="3533D1C1" w14:textId="77777777" w:rsidR="005C2EE9" w:rsidRDefault="00E350AE">
      <w:pPr>
        <w:pStyle w:val="Heading7"/>
        <w:rPr>
          <w:rFonts w:eastAsia="Times New Roman"/>
          <w:snapToGrid w:val="0"/>
        </w:rPr>
      </w:pPr>
      <w:r>
        <w:rPr>
          <w:rFonts w:eastAsia="Times New Roman"/>
          <w:snapToGrid w:val="0"/>
        </w:rPr>
        <w:t>Cost Effectiveness</w:t>
      </w:r>
    </w:p>
    <w:p w14:paraId="2002B4C1" w14:textId="2AA6AEFC" w:rsidR="005C2EE9" w:rsidRDefault="00E350AE">
      <w:pPr>
        <w:pStyle w:val="FOFNumbered"/>
      </w:pPr>
      <w:r>
        <w:t xml:space="preserve">CenterPoint Houston used </w:t>
      </w:r>
      <w:r w:rsidR="004328E0">
        <w:t xml:space="preserve">Commission Staff’s </w:t>
      </w:r>
      <w:r>
        <w:t>avoided cost capacity of $</w:t>
      </w:r>
      <w:r w:rsidR="000D0D5C" w:rsidRPr="005C5452">
        <w:t>80</w:t>
      </w:r>
      <w:r>
        <w:t xml:space="preserve"> per kW-year for 202</w:t>
      </w:r>
      <w:r w:rsidR="008B3D00">
        <w:t>3</w:t>
      </w:r>
      <w:r>
        <w:t>.  CenterPoint Houston used Commission Staff’s avoided cost of energy of $0.</w:t>
      </w:r>
      <w:r w:rsidR="00444E19">
        <w:t>0</w:t>
      </w:r>
      <w:r w:rsidR="00062669">
        <w:t>9115</w:t>
      </w:r>
      <w:r>
        <w:t xml:space="preserve"> per kWh for 202</w:t>
      </w:r>
      <w:r w:rsidR="008B3D00">
        <w:t>3</w:t>
      </w:r>
      <w:r>
        <w:t xml:space="preserve">. </w:t>
      </w:r>
    </w:p>
    <w:p w14:paraId="22DD0936" w14:textId="65D3A265" w:rsidR="005C2EE9" w:rsidRDefault="00E350AE">
      <w:pPr>
        <w:pStyle w:val="FOFNumbered"/>
      </w:pPr>
      <w:r>
        <w:t>The forecasted 202</w:t>
      </w:r>
      <w:r w:rsidR="008B3D00">
        <w:t>5</w:t>
      </w:r>
      <w:r>
        <w:t xml:space="preserve"> energy-efficiency program costs of $</w:t>
      </w:r>
      <w:r w:rsidR="008B3D00">
        <w:t>47,682,074</w:t>
      </w:r>
      <w:r>
        <w:t xml:space="preserve"> agreed to by </w:t>
      </w:r>
      <w:r w:rsidR="0090259F">
        <w:t>Signatories</w:t>
      </w:r>
      <w:r>
        <w:t xml:space="preserve"> are a reasonable estimate of the costs necessary to provide energy-efficiency programs and meet CenterPoint Houston’s goals for program year 202</w:t>
      </w:r>
      <w:r w:rsidR="008B3D00">
        <w:t>5</w:t>
      </w:r>
      <w:r>
        <w:t>.</w:t>
      </w:r>
    </w:p>
    <w:p w14:paraId="14B71FD5" w14:textId="2A1A4B8D" w:rsidR="005C2EE9" w:rsidRDefault="00E350AE">
      <w:pPr>
        <w:pStyle w:val="FOFNumbered"/>
      </w:pPr>
      <w:r>
        <w:t>CenterPoint Houston determined that its 202</w:t>
      </w:r>
      <w:r w:rsidR="008B3D00">
        <w:t>3</w:t>
      </w:r>
      <w:r>
        <w:t xml:space="preserve"> portfolio of energy-efficiency programs produced a benefit-cost ratio of </w:t>
      </w:r>
      <w:r w:rsidR="0068557B" w:rsidRPr="005C5452">
        <w:t>3.38</w:t>
      </w:r>
      <w:r w:rsidRPr="00E10C62">
        <w:t>,</w:t>
      </w:r>
      <w:r>
        <w:t xml:space="preserve"> which exceeds the benefit-cost ratio of 1.0 or greater required by 16 TAC § 25.181(d).</w:t>
      </w:r>
    </w:p>
    <w:p w14:paraId="504CDF3B" w14:textId="53F7CD93" w:rsidR="005C2EE9" w:rsidRDefault="004328E0">
      <w:pPr>
        <w:pStyle w:val="Heading7"/>
        <w:rPr>
          <w:rFonts w:eastAsia="Times New Roman"/>
          <w:snapToGrid w:val="0"/>
        </w:rPr>
      </w:pPr>
      <w:r>
        <w:rPr>
          <w:rFonts w:eastAsia="Times New Roman"/>
          <w:snapToGrid w:val="0"/>
        </w:rPr>
        <w:t>Net</w:t>
      </w:r>
      <w:r w:rsidR="00E350AE">
        <w:rPr>
          <w:rFonts w:eastAsia="Times New Roman"/>
          <w:snapToGrid w:val="0"/>
        </w:rPr>
        <w:t xml:space="preserve"> Cost Recovery</w:t>
      </w:r>
    </w:p>
    <w:p w14:paraId="301CC4C2" w14:textId="3D8EBF9C" w:rsidR="005C2EE9" w:rsidRDefault="00E350AE">
      <w:pPr>
        <w:pStyle w:val="FOFNumbered"/>
      </w:pPr>
      <w:r>
        <w:t>CenterPoint Houston’s net cost recovery of $</w:t>
      </w:r>
      <w:r w:rsidR="008B3D00">
        <w:t>62,740,346</w:t>
      </w:r>
      <w:r>
        <w:t xml:space="preserve"> consists of CenterPoint Houston’s projected energy efficiency costs to be recovered in 202</w:t>
      </w:r>
      <w:r w:rsidR="008B3D00">
        <w:t>5</w:t>
      </w:r>
      <w:r>
        <w:t>; projected EM&amp;V expenses for the evaluation of program year 202</w:t>
      </w:r>
      <w:r w:rsidR="008B3D00">
        <w:t>5</w:t>
      </w:r>
      <w:r>
        <w:t xml:space="preserve">; CenterPoint Houston’s net </w:t>
      </w:r>
      <w:r w:rsidR="00444E19">
        <w:t>over</w:t>
      </w:r>
      <w:r>
        <w:noBreakHyphen/>
        <w:t>recovery, including interest, of program year 202</w:t>
      </w:r>
      <w:r w:rsidR="008B3D00">
        <w:t>3</w:t>
      </w:r>
      <w:r>
        <w:t xml:space="preserve"> energy-efficiency costs; CenterPoint Houston’s adjusted performance bonus earned in 202</w:t>
      </w:r>
      <w:r w:rsidR="008B3D00">
        <w:t>3</w:t>
      </w:r>
      <w:r>
        <w:t xml:space="preserve">; CenterPoint Houston’s, City of Houston’s, and </w:t>
      </w:r>
      <w:r w:rsidR="004D6FE9">
        <w:t>GCCC’s</w:t>
      </w:r>
      <w:r>
        <w:t xml:space="preserve"> rate-case expenses incurred in Docket No. 5</w:t>
      </w:r>
      <w:r w:rsidR="008B3D00">
        <w:t>5088</w:t>
      </w:r>
      <w:r>
        <w:t>; and an adjustment to lower the EECRF revenue requirement</w:t>
      </w:r>
      <w:r w:rsidR="004328E0">
        <w:t xml:space="preserve">.  The amount of net cost recovery </w:t>
      </w:r>
      <w:r>
        <w:t>is reasonable.</w:t>
      </w:r>
    </w:p>
    <w:p w14:paraId="5AB516A6" w14:textId="77777777" w:rsidR="005C2EE9" w:rsidRDefault="00E350AE">
      <w:pPr>
        <w:pStyle w:val="Heading7"/>
        <w:rPr>
          <w:rFonts w:eastAsia="Times New Roman"/>
          <w:snapToGrid w:val="0"/>
        </w:rPr>
      </w:pPr>
      <w:r>
        <w:rPr>
          <w:rFonts w:eastAsia="Times New Roman"/>
          <w:snapToGrid w:val="0"/>
        </w:rPr>
        <w:t>Rate Classes and Direct Assignment of Cost</w:t>
      </w:r>
    </w:p>
    <w:p w14:paraId="7032C5C7" w14:textId="77777777" w:rsidR="005C2EE9" w:rsidRDefault="00E350AE">
      <w:pPr>
        <w:pStyle w:val="FOFNumbered"/>
      </w:pPr>
      <w:r>
        <w:t>To the maximum extent reasonably possible, CenterPoint Houston directly assigned costs to each rate class that receives services under the programs.</w:t>
      </w:r>
    </w:p>
    <w:p w14:paraId="66DA5D93" w14:textId="77777777" w:rsidR="005C2EE9" w:rsidRDefault="00E350AE">
      <w:pPr>
        <w:pStyle w:val="Heading7"/>
        <w:rPr>
          <w:rFonts w:eastAsia="Times New Roman"/>
        </w:rPr>
      </w:pPr>
      <w:r>
        <w:rPr>
          <w:rFonts w:eastAsia="Times New Roman"/>
        </w:rPr>
        <w:t>Fostering of Competition Among Energy-Efficiency Service Providers</w:t>
      </w:r>
    </w:p>
    <w:p w14:paraId="6244BB06" w14:textId="76FD4D7E" w:rsidR="005C2EE9" w:rsidRDefault="00E350AE">
      <w:pPr>
        <w:pStyle w:val="FOFNumbered"/>
      </w:pPr>
      <w:r>
        <w:t>CenterPoint Houston has furthered the development of energy-efficiency service providers through training, seminars, and adjusting to changes in the market as they arise.  CenterPoint Houston also uses its purchasing policy to foster competition among energy</w:t>
      </w:r>
      <w:r>
        <w:noBreakHyphen/>
        <w:t xml:space="preserve">efficiency service providers. </w:t>
      </w:r>
    </w:p>
    <w:p w14:paraId="01C7C13B" w14:textId="77777777" w:rsidR="005C2EE9" w:rsidRDefault="00E350AE">
      <w:pPr>
        <w:pStyle w:val="Heading7"/>
        <w:rPr>
          <w:rFonts w:eastAsia="Times New Roman"/>
          <w:snapToGrid w:val="0"/>
        </w:rPr>
      </w:pPr>
      <w:r>
        <w:rPr>
          <w:rFonts w:eastAsia="Times New Roman"/>
          <w:snapToGrid w:val="0"/>
        </w:rPr>
        <w:t>Requirements for Standard Offer, Market Transformation, and Self-Delivered Programs</w:t>
      </w:r>
    </w:p>
    <w:p w14:paraId="674CA50F" w14:textId="77777777" w:rsidR="005C2EE9" w:rsidRDefault="00E350AE">
      <w:pPr>
        <w:pStyle w:val="FOFNumbered"/>
      </w:pPr>
      <w:r>
        <w:t>CenterPoint Houston’s energy-efficiency program includes standard offer and market transformation programs.</w:t>
      </w:r>
    </w:p>
    <w:p w14:paraId="02652C3D" w14:textId="77777777" w:rsidR="005C2EE9" w:rsidRDefault="00E350AE">
      <w:pPr>
        <w:pStyle w:val="Heading7"/>
        <w:rPr>
          <w:rFonts w:eastAsia="Times New Roman"/>
          <w:snapToGrid w:val="0"/>
        </w:rPr>
      </w:pPr>
      <w:r>
        <w:rPr>
          <w:rFonts w:eastAsia="Times New Roman"/>
          <w:snapToGrid w:val="0"/>
        </w:rPr>
        <w:t>Incentive Payments</w:t>
      </w:r>
    </w:p>
    <w:p w14:paraId="7E5EC6F8" w14:textId="77777777" w:rsidR="005C2EE9" w:rsidRDefault="00E350AE">
      <w:pPr>
        <w:pStyle w:val="FOFNumbered"/>
      </w:pPr>
      <w:r>
        <w:t>CenterPoint Houston’s incentive payments for each of its customer classes do not exceed</w:t>
      </w:r>
      <w:r>
        <w:rPr>
          <w:rFonts w:eastAsia="Arial"/>
        </w:rPr>
        <w:t xml:space="preserve"> 100% of avoided cost for that class</w:t>
      </w:r>
      <w:r>
        <w:t xml:space="preserve">.  </w:t>
      </w:r>
    </w:p>
    <w:p w14:paraId="15041BBF" w14:textId="77777777" w:rsidR="005C2EE9" w:rsidRDefault="00E350AE">
      <w:pPr>
        <w:pStyle w:val="Heading7"/>
        <w:rPr>
          <w:rFonts w:eastAsia="Times New Roman"/>
          <w:snapToGrid w:val="0"/>
        </w:rPr>
      </w:pPr>
      <w:r>
        <w:rPr>
          <w:rFonts w:eastAsia="Times New Roman"/>
          <w:snapToGrid w:val="0"/>
        </w:rPr>
        <w:t>Affiliate Costs</w:t>
      </w:r>
    </w:p>
    <w:p w14:paraId="59A93E55" w14:textId="7E110C4B" w:rsidR="005C2EE9" w:rsidRPr="0015102A" w:rsidRDefault="00E350AE">
      <w:pPr>
        <w:pStyle w:val="FOFNumbered"/>
      </w:pPr>
      <w:r w:rsidRPr="0015102A">
        <w:t xml:space="preserve">The application included the affidavit of Michelle Townsend, </w:t>
      </w:r>
      <w:r w:rsidR="00E43A93">
        <w:t>director of Financial Planning and Analysis for CenterPoint Energy Service Company, LLC</w:t>
      </w:r>
      <w:r w:rsidRPr="0015102A">
        <w:t>.  Ms. Townsend attested that CenterPoint Energy, Inc.’s wholly owned subsidiary CenterPoint Energy Service Company, LLC provides centralized support services to CenterPoint Houston.</w:t>
      </w:r>
    </w:p>
    <w:p w14:paraId="4CC93BD0" w14:textId="0EDFEDFC" w:rsidR="005C2EE9" w:rsidRDefault="00E350AE">
      <w:pPr>
        <w:pStyle w:val="FOFNumbered"/>
      </w:pPr>
      <w:r>
        <w:t>Ms. Townsend stated that CenterPoint Energy Service Company, LLC’s direct charges of $</w:t>
      </w:r>
      <w:r w:rsidR="00E43A93">
        <w:t>6,636</w:t>
      </w:r>
      <w:r>
        <w:t xml:space="preserve"> to CenterPoint Houston’s energy-efficiency department related to information technology needed to operate CenterPoint Houston’s energy</w:t>
      </w:r>
      <w:r>
        <w:noBreakHyphen/>
        <w:t>efficiency programs were reasonable and necessary.</w:t>
      </w:r>
    </w:p>
    <w:p w14:paraId="57AF0EA2" w14:textId="53A60797" w:rsidR="0072723C" w:rsidRDefault="0072723C">
      <w:pPr>
        <w:pStyle w:val="FOFNumbered"/>
      </w:pPr>
      <w:r>
        <w:t>CenterPoint Houston seeks the recovery of $</w:t>
      </w:r>
      <w:r w:rsidR="00E43A93">
        <w:t>6,636</w:t>
      </w:r>
      <w:r>
        <w:t xml:space="preserve"> in affiliate expenses in this proceeding.</w:t>
      </w:r>
    </w:p>
    <w:p w14:paraId="4830173F" w14:textId="6AA9AE5A" w:rsidR="0072723C" w:rsidRDefault="0072723C">
      <w:pPr>
        <w:pStyle w:val="FOFNumbered"/>
      </w:pPr>
      <w:r>
        <w:t>To the extent that affiliate costs are included in the EECRF, they are reasonable and necessary for each class of affiliate costs presented in CenterPoint Houston’s application.</w:t>
      </w:r>
    </w:p>
    <w:p w14:paraId="0A92B23A" w14:textId="523E81ED" w:rsidR="0072723C" w:rsidRDefault="0072723C">
      <w:pPr>
        <w:pStyle w:val="FOFNumbered"/>
      </w:pPr>
      <w:r>
        <w:t>To the extent that affiliate costs are included in the EECRF, the price charged to CenterPoint Houston is not higher than the prices charged by the supplying affiliate for the same item or class of items to its affiliates or divisions or to a non-affiliated person within the same market area or having the same market conditions.</w:t>
      </w:r>
    </w:p>
    <w:p w14:paraId="38B5A397" w14:textId="77777777" w:rsidR="005C2EE9" w:rsidRDefault="00E350AE">
      <w:pPr>
        <w:pStyle w:val="Heading7"/>
        <w:rPr>
          <w:rFonts w:eastAsia="Times New Roman"/>
          <w:snapToGrid w:val="0"/>
        </w:rPr>
      </w:pPr>
      <w:r>
        <w:rPr>
          <w:rFonts w:eastAsia="Times New Roman"/>
          <w:snapToGrid w:val="0"/>
        </w:rPr>
        <w:t>Energy Efficiency Plan and Report</w:t>
      </w:r>
    </w:p>
    <w:p w14:paraId="2B519A3E" w14:textId="1C0A8DBF" w:rsidR="005C2EE9" w:rsidRDefault="00E350AE">
      <w:pPr>
        <w:pStyle w:val="FOFNumbered"/>
      </w:pPr>
      <w:r>
        <w:t>On April 1, 202</w:t>
      </w:r>
      <w:r w:rsidR="00E43A93">
        <w:t>4</w:t>
      </w:r>
      <w:r>
        <w:t>, CenterPoint Houston filed its 202</w:t>
      </w:r>
      <w:r w:rsidR="00E43A93">
        <w:t>4</w:t>
      </w:r>
      <w:r>
        <w:t xml:space="preserve"> energy-efficiency plan and report (EEPR) in the project annually designated for this purpose</w:t>
      </w:r>
      <w:r w:rsidR="0072723C">
        <w:t>.</w:t>
      </w:r>
      <w:r>
        <w:rPr>
          <w:rStyle w:val="FootnoteReference"/>
        </w:rPr>
        <w:footnoteReference w:id="5"/>
      </w:r>
      <w:r>
        <w:t xml:space="preserve">  </w:t>
      </w:r>
    </w:p>
    <w:p w14:paraId="749713D0" w14:textId="127A0A76" w:rsidR="005C2EE9" w:rsidRDefault="00E350AE">
      <w:pPr>
        <w:pStyle w:val="FOFNumbered"/>
      </w:pPr>
      <w:r>
        <w:t xml:space="preserve">On </w:t>
      </w:r>
      <w:r w:rsidR="00E43A93">
        <w:t>May 31</w:t>
      </w:r>
      <w:r>
        <w:t>, 202</w:t>
      </w:r>
      <w:r w:rsidR="00E43A93">
        <w:t>4</w:t>
      </w:r>
      <w:r>
        <w:t xml:space="preserve"> CenterPoint Houston filed its revised EEPR</w:t>
      </w:r>
      <w:r w:rsidR="0072723C">
        <w:t>.  The application includes the revised EEPR at</w:t>
      </w:r>
      <w:r>
        <w:t xml:space="preserve"> Exhibit SAR-1 of Mr. Richardson’s direct testimony.</w:t>
      </w:r>
    </w:p>
    <w:p w14:paraId="62E003DA" w14:textId="77777777" w:rsidR="005C2EE9" w:rsidRDefault="00E350AE">
      <w:pPr>
        <w:pStyle w:val="Heading7"/>
        <w:rPr>
          <w:rFonts w:eastAsia="Times New Roman"/>
          <w:snapToGrid w:val="0"/>
        </w:rPr>
      </w:pPr>
      <w:r>
        <w:rPr>
          <w:rFonts w:eastAsia="Times New Roman"/>
          <w:snapToGrid w:val="0"/>
        </w:rPr>
        <w:t>Low-Income Energy Efficiency</w:t>
      </w:r>
    </w:p>
    <w:p w14:paraId="4700B49C" w14:textId="0D885FED" w:rsidR="005C2EE9" w:rsidRDefault="00E350AE">
      <w:pPr>
        <w:pStyle w:val="FOFNumbered"/>
        <w:rPr>
          <w:rFonts w:eastAsia="Arial"/>
        </w:rPr>
      </w:pPr>
      <w:r>
        <w:t>CenterPoint Houston’s</w:t>
      </w:r>
      <w:r>
        <w:rPr>
          <w:rFonts w:eastAsia="Arial"/>
        </w:rPr>
        <w:t xml:space="preserve"> total program expenditures for its targeted low-income program in 202</w:t>
      </w:r>
      <w:r w:rsidR="00E43A93">
        <w:rPr>
          <w:rFonts w:eastAsia="Arial"/>
        </w:rPr>
        <w:t>3</w:t>
      </w:r>
      <w:r>
        <w:rPr>
          <w:rFonts w:eastAsia="Arial"/>
        </w:rPr>
        <w:t xml:space="preserve"> were $</w:t>
      </w:r>
      <w:r w:rsidR="00E43A93">
        <w:rPr>
          <w:rFonts w:eastAsia="Arial"/>
        </w:rPr>
        <w:t>6,545,304</w:t>
      </w:r>
      <w:r>
        <w:t xml:space="preserve">, </w:t>
      </w:r>
      <w:r>
        <w:rPr>
          <w:rFonts w:eastAsia="Arial"/>
        </w:rPr>
        <w:t>which is greater than the required 10% of the total portfolio budget amount of $</w:t>
      </w:r>
      <w:r w:rsidR="00E43A93">
        <w:t>36,301,819</w:t>
      </w:r>
      <w:r>
        <w:rPr>
          <w:rFonts w:eastAsia="Arial"/>
        </w:rPr>
        <w:t>.</w:t>
      </w:r>
    </w:p>
    <w:p w14:paraId="5687E60E" w14:textId="2D0C9A07" w:rsidR="00E76A9D" w:rsidRDefault="00E76A9D">
      <w:pPr>
        <w:pStyle w:val="FOFNumbered"/>
        <w:rPr>
          <w:rFonts w:eastAsia="Arial"/>
        </w:rPr>
      </w:pPr>
      <w:r>
        <w:t>Through its Multi-family MTP Hard-to-Reach, Hard-to-Reach S</w:t>
      </w:r>
      <w:r w:rsidR="004C7307">
        <w:t>OP</w:t>
      </w:r>
      <w:r>
        <w:t>, and Targeted Low-Income MTP (Agencies in Action) Programs</w:t>
      </w:r>
      <w:r w:rsidR="00C8304F">
        <w:t xml:space="preserve"> CenterPoint Houston provided: funding for the installation of energy-efficiency measures in multi-family construction: retrofit applications including HVAC replacement, duct sealing, weatherization, ceiling insulation, water saving measures, and ENERGY STAR wi</w:t>
      </w:r>
      <w:r w:rsidR="00E03791">
        <w:t>n</w:t>
      </w:r>
      <w:r w:rsidR="00C8304F">
        <w:t>dows in residential housing; and energy efficiency upgrades for low-income residential custom</w:t>
      </w:r>
      <w:r w:rsidR="00E03791">
        <w:t>er</w:t>
      </w:r>
      <w:r w:rsidR="00C8304F">
        <w:t>s in single family or multi-family homes.</w:t>
      </w:r>
    </w:p>
    <w:p w14:paraId="011DAC87" w14:textId="2B6C01EA" w:rsidR="005C2EE9" w:rsidRDefault="00E350AE">
      <w:pPr>
        <w:pStyle w:val="FOFNumbered"/>
      </w:pPr>
      <w:r>
        <w:t>CenterPoint Houston’s budgeted amount for its targeted low-income program in program year 202</w:t>
      </w:r>
      <w:r w:rsidR="00E43A93">
        <w:t>5</w:t>
      </w:r>
      <w:r>
        <w:t xml:space="preserve"> is $</w:t>
      </w:r>
      <w:r w:rsidR="00E43A93">
        <w:t>5,102,595</w:t>
      </w:r>
      <w:r>
        <w:t xml:space="preserve">, which is </w:t>
      </w:r>
      <w:r w:rsidR="00E76A9D">
        <w:t>not less than 10%</w:t>
      </w:r>
      <w:r>
        <w:t xml:space="preserve"> of the total </w:t>
      </w:r>
      <w:r w:rsidR="00E76A9D">
        <w:t>energy-efficiency budget</w:t>
      </w:r>
      <w:r>
        <w:rPr>
          <w:rFonts w:eastAsia="Arial"/>
        </w:rPr>
        <w:t xml:space="preserve"> </w:t>
      </w:r>
      <w:r>
        <w:t>of $</w:t>
      </w:r>
      <w:r w:rsidR="00E43A93">
        <w:t>47,682,074</w:t>
      </w:r>
      <w:r>
        <w:t>.</w:t>
      </w:r>
    </w:p>
    <w:p w14:paraId="6A706113" w14:textId="77777777" w:rsidR="005C2EE9" w:rsidRDefault="00E350AE">
      <w:pPr>
        <w:pStyle w:val="Heading7"/>
        <w:rPr>
          <w:rFonts w:eastAsia="Times New Roman"/>
        </w:rPr>
      </w:pPr>
      <w:r>
        <w:rPr>
          <w:rFonts w:eastAsia="Times New Roman"/>
        </w:rPr>
        <w:t>Outreach to Retail Electric Providers</w:t>
      </w:r>
    </w:p>
    <w:p w14:paraId="74491248" w14:textId="77777777" w:rsidR="005C2EE9" w:rsidRDefault="00E350AE">
      <w:pPr>
        <w:pStyle w:val="FOFNumbered"/>
      </w:pPr>
      <w:r>
        <w:t>CenterPoint Houston serves in an area in which customer choice is offered.</w:t>
      </w:r>
    </w:p>
    <w:p w14:paraId="324F4D8B" w14:textId="34670062" w:rsidR="005C2EE9" w:rsidRDefault="00E350AE">
      <w:pPr>
        <w:pStyle w:val="FOFNumbered"/>
      </w:pPr>
      <w:r>
        <w:t>CenterPoint Houston conducted outreach to retail electric providers and continues to promote the participation of retail electric providers in CenterPoint Houston’s energy efficiency programs.  In 202</w:t>
      </w:r>
      <w:r w:rsidR="00E43A93">
        <w:t>3</w:t>
      </w:r>
      <w:r>
        <w:t>, 14 retail electric providers participated in CenterPoint Houston’s retail electric provider program by marketing energy savings products and services to residential and commercial customers.</w:t>
      </w:r>
    </w:p>
    <w:p w14:paraId="275E8ADD" w14:textId="77777777" w:rsidR="005C2EE9" w:rsidRDefault="00E350AE">
      <w:pPr>
        <w:pStyle w:val="Heading7"/>
        <w:rPr>
          <w:rFonts w:eastAsia="Times New Roman"/>
        </w:rPr>
      </w:pPr>
      <w:r>
        <w:rPr>
          <w:rFonts w:eastAsia="Times New Roman"/>
        </w:rPr>
        <w:t>Industrial Customer Exclusions</w:t>
      </w:r>
    </w:p>
    <w:p w14:paraId="7102110E" w14:textId="1643D18A" w:rsidR="005C2EE9" w:rsidRDefault="00E350AE">
      <w:pPr>
        <w:pStyle w:val="FOFNumbered"/>
      </w:pPr>
      <w:r>
        <w:rPr>
          <w:rFonts w:eastAsia="Arial"/>
        </w:rPr>
        <w:t xml:space="preserve">CenterPoint Houston’s industrial customers taking service at distribution voltage who elected to exclude themselves from CenterPoint Houston’s energy-efficiency programs and provided notices under 16 TAC </w:t>
      </w:r>
      <w:r>
        <w:t>§ 25.181(u) constituted an exclusion of</w:t>
      </w:r>
      <w:r>
        <w:rPr>
          <w:rFonts w:eastAsia="Arial"/>
        </w:rPr>
        <w:t xml:space="preserve"> 1.</w:t>
      </w:r>
      <w:r w:rsidR="00C16C61">
        <w:rPr>
          <w:rFonts w:eastAsia="Arial"/>
        </w:rPr>
        <w:t>5</w:t>
      </w:r>
      <w:r>
        <w:rPr>
          <w:rFonts w:eastAsia="Arial"/>
        </w:rPr>
        <w:t xml:space="preserve"> </w:t>
      </w:r>
      <w:r w:rsidR="00B904EA">
        <w:rPr>
          <w:rFonts w:eastAsia="Arial"/>
        </w:rPr>
        <w:t>b</w:t>
      </w:r>
      <w:r>
        <w:rPr>
          <w:rFonts w:eastAsia="Arial"/>
        </w:rPr>
        <w:t xml:space="preserve">illion </w:t>
      </w:r>
      <w:r w:rsidR="00B904EA">
        <w:rPr>
          <w:rFonts w:eastAsia="Arial"/>
        </w:rPr>
        <w:t>k</w:t>
      </w:r>
      <w:r>
        <w:rPr>
          <w:rFonts w:eastAsia="Arial"/>
        </w:rPr>
        <w:t>Wh from the calculations of the demand-reduction goal for program year 202</w:t>
      </w:r>
      <w:r w:rsidR="00C16C61">
        <w:rPr>
          <w:rFonts w:eastAsia="Arial"/>
        </w:rPr>
        <w:t>5</w:t>
      </w:r>
      <w:r>
        <w:rPr>
          <w:rFonts w:eastAsia="Arial"/>
        </w:rPr>
        <w:t xml:space="preserve"> when applying reasonable line-loss factors as required by 16 TAC </w:t>
      </w:r>
      <w:r>
        <w:t>§ 25.181(e)(3)(B).</w:t>
      </w:r>
      <w:r>
        <w:rPr>
          <w:rFonts w:eastAsia="Arial"/>
        </w:rPr>
        <w:t xml:space="preserve">  Those excluded customers have been reflected in the EECRF calculations.</w:t>
      </w:r>
    </w:p>
    <w:p w14:paraId="77553EF1" w14:textId="77777777" w:rsidR="005C2EE9" w:rsidRDefault="00E350AE">
      <w:pPr>
        <w:pStyle w:val="Heading7"/>
        <w:rPr>
          <w:rFonts w:eastAsia="Times New Roman"/>
          <w:snapToGrid w:val="0"/>
        </w:rPr>
      </w:pPr>
      <w:r>
        <w:rPr>
          <w:rFonts w:eastAsia="Times New Roman"/>
          <w:snapToGrid w:val="0"/>
        </w:rPr>
        <w:t>Line Losses</w:t>
      </w:r>
    </w:p>
    <w:p w14:paraId="1C5CA34E" w14:textId="0127943A" w:rsidR="005C2EE9" w:rsidRDefault="00E350AE">
      <w:pPr>
        <w:pStyle w:val="FOFNumbered"/>
      </w:pPr>
      <w:r>
        <w:t xml:space="preserve">CenterPoint Houston incorporated the </w:t>
      </w:r>
      <w:r w:rsidR="003C0853">
        <w:t xml:space="preserve">rate class specific </w:t>
      </w:r>
      <w:r>
        <w:t xml:space="preserve">line loss values established in Docket No. 49421 into the peak demand values used to calculate the MW goal.  </w:t>
      </w:r>
    </w:p>
    <w:tbl>
      <w:tblPr>
        <w:tblStyle w:val="TableGrid"/>
        <w:tblW w:w="0" w:type="auto"/>
        <w:tblLook w:val="04A0" w:firstRow="1" w:lastRow="0" w:firstColumn="1" w:lastColumn="0" w:noHBand="0" w:noVBand="1"/>
      </w:tblPr>
      <w:tblGrid>
        <w:gridCol w:w="4675"/>
        <w:gridCol w:w="4675"/>
      </w:tblGrid>
      <w:tr w:rsidR="001C4595" w14:paraId="0DD70A2A" w14:textId="77777777" w:rsidTr="001B772A">
        <w:tc>
          <w:tcPr>
            <w:tcW w:w="4675" w:type="dxa"/>
          </w:tcPr>
          <w:p w14:paraId="3E6B5919" w14:textId="77777777" w:rsidR="001C4595" w:rsidRDefault="001C4595" w:rsidP="001B772A">
            <w:pPr>
              <w:pStyle w:val="FOFNumbered"/>
              <w:numPr>
                <w:ilvl w:val="0"/>
                <w:numId w:val="0"/>
              </w:numPr>
              <w:spacing w:line="240" w:lineRule="auto"/>
              <w:jc w:val="center"/>
            </w:pPr>
            <w:r>
              <w:t>Voltage</w:t>
            </w:r>
          </w:p>
        </w:tc>
        <w:tc>
          <w:tcPr>
            <w:tcW w:w="4675" w:type="dxa"/>
          </w:tcPr>
          <w:p w14:paraId="3745DA5E" w14:textId="77777777" w:rsidR="001C4595" w:rsidRDefault="001C4595" w:rsidP="001B772A">
            <w:pPr>
              <w:pStyle w:val="FOFNumbered"/>
              <w:numPr>
                <w:ilvl w:val="0"/>
                <w:numId w:val="0"/>
              </w:numPr>
              <w:spacing w:line="240" w:lineRule="auto"/>
              <w:jc w:val="center"/>
            </w:pPr>
            <w:r>
              <w:t>Demand Factor</w:t>
            </w:r>
          </w:p>
        </w:tc>
      </w:tr>
      <w:tr w:rsidR="001C4595" w14:paraId="74A9ED0F" w14:textId="77777777" w:rsidTr="001B772A">
        <w:tc>
          <w:tcPr>
            <w:tcW w:w="4675" w:type="dxa"/>
          </w:tcPr>
          <w:p w14:paraId="0DADA1B6" w14:textId="77777777" w:rsidR="001C4595" w:rsidRDefault="001C4595" w:rsidP="001B772A">
            <w:pPr>
              <w:pStyle w:val="FOFNumbered"/>
              <w:numPr>
                <w:ilvl w:val="0"/>
                <w:numId w:val="0"/>
              </w:numPr>
              <w:spacing w:line="240" w:lineRule="auto"/>
              <w:jc w:val="left"/>
            </w:pPr>
            <w:r>
              <w:t>Residential</w:t>
            </w:r>
          </w:p>
        </w:tc>
        <w:tc>
          <w:tcPr>
            <w:tcW w:w="4675" w:type="dxa"/>
          </w:tcPr>
          <w:p w14:paraId="59217C49" w14:textId="77777777" w:rsidR="001C4595" w:rsidRDefault="001C4595" w:rsidP="001B772A">
            <w:pPr>
              <w:pStyle w:val="FOFNumbered"/>
              <w:numPr>
                <w:ilvl w:val="0"/>
                <w:numId w:val="0"/>
              </w:numPr>
              <w:spacing w:line="240" w:lineRule="auto"/>
              <w:jc w:val="left"/>
            </w:pPr>
            <w:r>
              <w:t>1.057503</w:t>
            </w:r>
          </w:p>
        </w:tc>
      </w:tr>
      <w:tr w:rsidR="001C4595" w14:paraId="322018B5" w14:textId="77777777" w:rsidTr="001B772A">
        <w:tc>
          <w:tcPr>
            <w:tcW w:w="4675" w:type="dxa"/>
          </w:tcPr>
          <w:p w14:paraId="35F851E9" w14:textId="77777777" w:rsidR="001C4595" w:rsidRDefault="001C4595" w:rsidP="001B772A">
            <w:pPr>
              <w:pStyle w:val="FOFNumbered"/>
              <w:numPr>
                <w:ilvl w:val="0"/>
                <w:numId w:val="0"/>
              </w:numPr>
              <w:spacing w:line="240" w:lineRule="auto"/>
              <w:jc w:val="left"/>
            </w:pPr>
            <w:r>
              <w:t>Secondary=&lt;10kva</w:t>
            </w:r>
          </w:p>
        </w:tc>
        <w:tc>
          <w:tcPr>
            <w:tcW w:w="4675" w:type="dxa"/>
          </w:tcPr>
          <w:p w14:paraId="126B1C0F" w14:textId="77777777" w:rsidR="001C4595" w:rsidRDefault="001C4595" w:rsidP="001B772A">
            <w:pPr>
              <w:pStyle w:val="FOFNumbered"/>
              <w:numPr>
                <w:ilvl w:val="0"/>
                <w:numId w:val="0"/>
              </w:numPr>
              <w:spacing w:line="240" w:lineRule="auto"/>
              <w:jc w:val="left"/>
            </w:pPr>
            <w:r>
              <w:t>1.057416</w:t>
            </w:r>
          </w:p>
        </w:tc>
      </w:tr>
      <w:tr w:rsidR="001C4595" w14:paraId="708FFD66" w14:textId="77777777" w:rsidTr="001B772A">
        <w:tc>
          <w:tcPr>
            <w:tcW w:w="4675" w:type="dxa"/>
          </w:tcPr>
          <w:p w14:paraId="1460A682" w14:textId="77777777" w:rsidR="001C4595" w:rsidRDefault="001C4595" w:rsidP="001B772A">
            <w:pPr>
              <w:pStyle w:val="FOFNumbered"/>
              <w:numPr>
                <w:ilvl w:val="0"/>
                <w:numId w:val="0"/>
              </w:numPr>
              <w:spacing w:line="240" w:lineRule="auto"/>
              <w:jc w:val="left"/>
            </w:pPr>
            <w:r>
              <w:t>Secondary&gt;10kva</w:t>
            </w:r>
          </w:p>
        </w:tc>
        <w:tc>
          <w:tcPr>
            <w:tcW w:w="4675" w:type="dxa"/>
          </w:tcPr>
          <w:p w14:paraId="5AE07908" w14:textId="77777777" w:rsidR="001C4595" w:rsidRDefault="001C4595" w:rsidP="001B772A">
            <w:pPr>
              <w:pStyle w:val="FOFNumbered"/>
              <w:numPr>
                <w:ilvl w:val="0"/>
                <w:numId w:val="0"/>
              </w:numPr>
              <w:spacing w:line="240" w:lineRule="auto"/>
              <w:jc w:val="left"/>
            </w:pPr>
            <w:r>
              <w:t>1.057320</w:t>
            </w:r>
          </w:p>
        </w:tc>
      </w:tr>
      <w:tr w:rsidR="001C4595" w14:paraId="2F7D5092" w14:textId="77777777" w:rsidTr="001B772A">
        <w:tc>
          <w:tcPr>
            <w:tcW w:w="4675" w:type="dxa"/>
          </w:tcPr>
          <w:p w14:paraId="5EF9158F" w14:textId="77777777" w:rsidR="001C4595" w:rsidRDefault="001C4595" w:rsidP="001B772A">
            <w:pPr>
              <w:pStyle w:val="FOFNumbered"/>
              <w:numPr>
                <w:ilvl w:val="0"/>
                <w:numId w:val="0"/>
              </w:numPr>
              <w:spacing w:line="240" w:lineRule="auto"/>
              <w:jc w:val="left"/>
            </w:pPr>
            <w:r>
              <w:t>Primary</w:t>
            </w:r>
          </w:p>
        </w:tc>
        <w:tc>
          <w:tcPr>
            <w:tcW w:w="4675" w:type="dxa"/>
          </w:tcPr>
          <w:p w14:paraId="14BCF12F" w14:textId="77777777" w:rsidR="001C4595" w:rsidRDefault="001C4595" w:rsidP="001B772A">
            <w:pPr>
              <w:pStyle w:val="FOFNumbered"/>
              <w:numPr>
                <w:ilvl w:val="0"/>
                <w:numId w:val="0"/>
              </w:numPr>
              <w:spacing w:line="240" w:lineRule="auto"/>
              <w:jc w:val="left"/>
            </w:pPr>
            <w:r>
              <w:t>1.037157</w:t>
            </w:r>
          </w:p>
        </w:tc>
      </w:tr>
      <w:tr w:rsidR="001C4595" w14:paraId="64D5DAF0" w14:textId="77777777" w:rsidTr="001B772A">
        <w:tc>
          <w:tcPr>
            <w:tcW w:w="4675" w:type="dxa"/>
          </w:tcPr>
          <w:p w14:paraId="7588C93A" w14:textId="77777777" w:rsidR="001C4595" w:rsidRDefault="001C4595" w:rsidP="001B772A">
            <w:pPr>
              <w:pStyle w:val="FOFNumbered"/>
              <w:numPr>
                <w:ilvl w:val="0"/>
                <w:numId w:val="0"/>
              </w:numPr>
              <w:spacing w:line="240" w:lineRule="auto"/>
              <w:jc w:val="left"/>
            </w:pPr>
            <w:r>
              <w:t>Transmission</w:t>
            </w:r>
          </w:p>
        </w:tc>
        <w:tc>
          <w:tcPr>
            <w:tcW w:w="4675" w:type="dxa"/>
          </w:tcPr>
          <w:p w14:paraId="1B9CAE42" w14:textId="77777777" w:rsidR="001C4595" w:rsidRDefault="001C4595" w:rsidP="001B772A">
            <w:pPr>
              <w:pStyle w:val="FOFNumbered"/>
              <w:numPr>
                <w:ilvl w:val="0"/>
                <w:numId w:val="0"/>
              </w:numPr>
              <w:spacing w:line="240" w:lineRule="auto"/>
              <w:jc w:val="left"/>
            </w:pPr>
            <w:r>
              <w:t>1.019253</w:t>
            </w:r>
          </w:p>
        </w:tc>
      </w:tr>
      <w:tr w:rsidR="001C4595" w14:paraId="6F214370" w14:textId="77777777" w:rsidTr="001B772A">
        <w:tc>
          <w:tcPr>
            <w:tcW w:w="4675" w:type="dxa"/>
          </w:tcPr>
          <w:p w14:paraId="7B3D1588" w14:textId="77777777" w:rsidR="001C4595" w:rsidRDefault="001C4595" w:rsidP="001B772A">
            <w:pPr>
              <w:pStyle w:val="FOFNumbered"/>
              <w:numPr>
                <w:ilvl w:val="0"/>
                <w:numId w:val="0"/>
              </w:numPr>
              <w:spacing w:line="240" w:lineRule="auto"/>
              <w:jc w:val="left"/>
            </w:pPr>
            <w:r>
              <w:t>Lighting SLS</w:t>
            </w:r>
          </w:p>
        </w:tc>
        <w:tc>
          <w:tcPr>
            <w:tcW w:w="4675" w:type="dxa"/>
          </w:tcPr>
          <w:p w14:paraId="716FF545" w14:textId="77777777" w:rsidR="001C4595" w:rsidRDefault="001C4595" w:rsidP="001B772A">
            <w:pPr>
              <w:pStyle w:val="FOFNumbered"/>
              <w:numPr>
                <w:ilvl w:val="0"/>
                <w:numId w:val="0"/>
              </w:numPr>
              <w:spacing w:line="240" w:lineRule="auto"/>
              <w:jc w:val="left"/>
            </w:pPr>
            <w:r>
              <w:t>1.057320</w:t>
            </w:r>
          </w:p>
        </w:tc>
      </w:tr>
      <w:tr w:rsidR="001C4595" w14:paraId="65130E57" w14:textId="77777777" w:rsidTr="001B772A">
        <w:tc>
          <w:tcPr>
            <w:tcW w:w="4675" w:type="dxa"/>
          </w:tcPr>
          <w:p w14:paraId="6A2504C3" w14:textId="77777777" w:rsidR="001C4595" w:rsidRDefault="001C4595" w:rsidP="001B772A">
            <w:pPr>
              <w:pStyle w:val="FOFNumbered"/>
              <w:numPr>
                <w:ilvl w:val="0"/>
                <w:numId w:val="0"/>
              </w:numPr>
              <w:spacing w:line="240" w:lineRule="auto"/>
              <w:jc w:val="left"/>
            </w:pPr>
            <w:r>
              <w:t>Lighting MLS</w:t>
            </w:r>
          </w:p>
        </w:tc>
        <w:tc>
          <w:tcPr>
            <w:tcW w:w="4675" w:type="dxa"/>
          </w:tcPr>
          <w:p w14:paraId="2934AE64" w14:textId="77777777" w:rsidR="001C4595" w:rsidRDefault="001C4595" w:rsidP="001B772A">
            <w:pPr>
              <w:pStyle w:val="FOFNumbered"/>
              <w:numPr>
                <w:ilvl w:val="0"/>
                <w:numId w:val="0"/>
              </w:numPr>
              <w:spacing w:line="240" w:lineRule="auto"/>
              <w:jc w:val="left"/>
            </w:pPr>
            <w:r>
              <w:t>1.057320</w:t>
            </w:r>
          </w:p>
        </w:tc>
      </w:tr>
    </w:tbl>
    <w:p w14:paraId="32E59941" w14:textId="77777777" w:rsidR="001C4595" w:rsidRDefault="001C4595" w:rsidP="001C4595">
      <w:pPr>
        <w:pStyle w:val="FOFNumbered"/>
        <w:numPr>
          <w:ilvl w:val="0"/>
          <w:numId w:val="0"/>
        </w:numPr>
      </w:pPr>
    </w:p>
    <w:p w14:paraId="28F1B5A3" w14:textId="77777777" w:rsidR="005C2EE9" w:rsidRDefault="00E350AE">
      <w:pPr>
        <w:pStyle w:val="Heading7"/>
        <w:rPr>
          <w:rFonts w:eastAsia="Times New Roman"/>
          <w:snapToGrid w:val="0"/>
        </w:rPr>
      </w:pPr>
      <w:r>
        <w:rPr>
          <w:rFonts w:eastAsia="Times New Roman"/>
          <w:snapToGrid w:val="0"/>
        </w:rPr>
        <w:t>Billing Determinants</w:t>
      </w:r>
    </w:p>
    <w:p w14:paraId="5BD200EF" w14:textId="121FF290" w:rsidR="005C2EE9" w:rsidRDefault="00E350AE">
      <w:pPr>
        <w:pStyle w:val="FOFNumbered"/>
      </w:pPr>
      <w:r>
        <w:t>The estimate of billing determinants in calculating CenterPoint Houston’s 202</w:t>
      </w:r>
      <w:r w:rsidR="00C16C61">
        <w:t>5</w:t>
      </w:r>
      <w:r>
        <w:t xml:space="preserve"> EECRF and the calculation of the proposed 202</w:t>
      </w:r>
      <w:r w:rsidR="00C16C61">
        <w:t>5</w:t>
      </w:r>
      <w:r>
        <w:t xml:space="preserve"> EECRF rates are reasonable.</w:t>
      </w:r>
    </w:p>
    <w:p w14:paraId="227ABF0C" w14:textId="77777777" w:rsidR="005C2EE9" w:rsidRDefault="00E350AE">
      <w:pPr>
        <w:pStyle w:val="Heading7"/>
        <w:rPr>
          <w:rFonts w:eastAsia="Times New Roman"/>
          <w:snapToGrid w:val="0"/>
        </w:rPr>
      </w:pPr>
      <w:r>
        <w:rPr>
          <w:rFonts w:eastAsia="Times New Roman"/>
          <w:snapToGrid w:val="0"/>
        </w:rPr>
        <w:t>Good Cause Exceptions</w:t>
      </w:r>
    </w:p>
    <w:p w14:paraId="42EFB5B5" w14:textId="251CD623" w:rsidR="00FE48F0" w:rsidRDefault="00E350AE" w:rsidP="002C58B3">
      <w:pPr>
        <w:pStyle w:val="FOFNumbered"/>
      </w:pPr>
      <w:r>
        <w:t>CenterPoint Houston did not seek a good cause exception to be eligible for a lower demand</w:t>
      </w:r>
      <w:r>
        <w:noBreakHyphen/>
        <w:t>reduction goal, a higher administrative spending cap, or a higher EECRF cost cap under 16 TAC § 25.181(e)(2).  CenterPoint Houston also did not seek a good cause exception to combine rate classes under 16 TAC § 25.182(d)(2).</w:t>
      </w:r>
    </w:p>
    <w:p w14:paraId="49CA909C" w14:textId="77777777" w:rsidR="005C2EE9" w:rsidRDefault="00E350AE">
      <w:pPr>
        <w:pStyle w:val="Heading7"/>
        <w:rPr>
          <w:rFonts w:eastAsia="Times New Roman"/>
          <w:snapToGrid w:val="0"/>
        </w:rPr>
      </w:pPr>
      <w:r>
        <w:rPr>
          <w:rFonts w:eastAsia="Times New Roman"/>
          <w:snapToGrid w:val="0"/>
        </w:rPr>
        <w:t>Informal Disposition</w:t>
      </w:r>
    </w:p>
    <w:p w14:paraId="7B1A9812" w14:textId="77777777" w:rsidR="005C2EE9" w:rsidRDefault="00E350AE">
      <w:pPr>
        <w:pStyle w:val="FOFNumbered"/>
      </w:pPr>
      <w:r>
        <w:t>More than 15 days have passed since the completion of notice provided in this docket.</w:t>
      </w:r>
    </w:p>
    <w:p w14:paraId="7473E303" w14:textId="2EE38867" w:rsidR="005C2EE9" w:rsidRDefault="00E350AE" w:rsidP="004D01EC">
      <w:pPr>
        <w:pStyle w:val="FOFNumbered"/>
      </w:pPr>
      <w:r>
        <w:t xml:space="preserve">CenterPoint Houston, Commission Staff, GCCC, </w:t>
      </w:r>
      <w:r w:rsidR="00C16C61">
        <w:t xml:space="preserve">and </w:t>
      </w:r>
      <w:r>
        <w:t>the City of Houston</w:t>
      </w:r>
      <w:r w:rsidR="00C16C61">
        <w:t xml:space="preserve"> </w:t>
      </w:r>
      <w:r>
        <w:t>are the only parties to the proceeding.</w:t>
      </w:r>
    </w:p>
    <w:p w14:paraId="1CD8DCBC" w14:textId="77777777" w:rsidR="005C2EE9" w:rsidRDefault="00E350AE">
      <w:pPr>
        <w:pStyle w:val="FOFNumbered"/>
      </w:pPr>
      <w:r>
        <w:t>No hearing is needed.</w:t>
      </w:r>
    </w:p>
    <w:p w14:paraId="4698C87A" w14:textId="77777777" w:rsidR="005C2EE9" w:rsidRDefault="00E350AE">
      <w:pPr>
        <w:pStyle w:val="FOFNumbered"/>
      </w:pPr>
      <w:r>
        <w:t>The decision is not adverse to any party.</w:t>
      </w:r>
    </w:p>
    <w:p w14:paraId="6E4FC24A" w14:textId="77777777" w:rsidR="005C2EE9" w:rsidRDefault="00E350AE">
      <w:pPr>
        <w:pStyle w:val="Heading1"/>
      </w:pPr>
      <w:r>
        <w:t>Conclusions of Law</w:t>
      </w:r>
    </w:p>
    <w:p w14:paraId="04DD8626" w14:textId="77777777" w:rsidR="005C2EE9" w:rsidRDefault="00E350AE">
      <w:pPr>
        <w:pStyle w:val="BodyText"/>
        <w:keepNext/>
      </w:pPr>
      <w:r>
        <w:t>The Commission makes the following conclusions of law.</w:t>
      </w:r>
    </w:p>
    <w:p w14:paraId="41701D9F" w14:textId="77777777" w:rsidR="005C2EE9" w:rsidRDefault="00E350AE">
      <w:pPr>
        <w:pStyle w:val="COLNumbered"/>
      </w:pPr>
      <w:r>
        <w:t>CenterPoint Houston is a public utility as that term is defined in PURA § 11.004(1) and an electric utility as that term is defined in PURA § 31.002(6).</w:t>
      </w:r>
    </w:p>
    <w:p w14:paraId="052D30FC" w14:textId="0AAB4946" w:rsidR="005C2EE9" w:rsidRDefault="00E350AE">
      <w:pPr>
        <w:pStyle w:val="COLNumbered"/>
      </w:pPr>
      <w:r>
        <w:t xml:space="preserve">The Commission has </w:t>
      </w:r>
      <w:r w:rsidR="006018BD">
        <w:t>jurisdiction</w:t>
      </w:r>
      <w:r>
        <w:t xml:space="preserve"> over this matter under PURA §§ 14.001, 32.001, 36.001, 36.204, and 39.905.</w:t>
      </w:r>
    </w:p>
    <w:p w14:paraId="31BCED51" w14:textId="6826BDFF" w:rsidR="005C2EE9" w:rsidRDefault="00E350AE">
      <w:pPr>
        <w:pStyle w:val="COLNumbered"/>
      </w:pPr>
      <w:r>
        <w:t xml:space="preserve">Under PURA § 39.905 and 16 TAC § 25.182(d)(8), </w:t>
      </w:r>
      <w:r w:rsidR="001B772A">
        <w:t>CenterPoint Houston was</w:t>
      </w:r>
      <w:r w:rsidR="00EE30F7">
        <w:t xml:space="preserve"> </w:t>
      </w:r>
      <w:r>
        <w:t>required to file for an EECRF.</w:t>
      </w:r>
    </w:p>
    <w:p w14:paraId="37E917FD" w14:textId="77777777" w:rsidR="005C2EE9" w:rsidRDefault="00E350AE">
      <w:pPr>
        <w:pStyle w:val="COLNumbered"/>
      </w:pPr>
      <w:r>
        <w:t>CenterPoint Houston complied with the requirement under 16 TAC § 25.182(d)(8) to apply by June 1 to adjust its EECRF, effective March 1 of the following year.</w:t>
      </w:r>
    </w:p>
    <w:p w14:paraId="044A1D68" w14:textId="77777777" w:rsidR="005C2EE9" w:rsidRDefault="00E350AE">
      <w:pPr>
        <w:pStyle w:val="COLNumbered"/>
      </w:pPr>
      <w:r>
        <w:t>The Commission processed the application in accordance with the requirements of PURA, the Administrative Procedure Act,</w:t>
      </w:r>
      <w:r>
        <w:rPr>
          <w:rStyle w:val="FootnoteReference"/>
        </w:rPr>
        <w:footnoteReference w:id="6"/>
      </w:r>
      <w:r>
        <w:rPr>
          <w:vertAlign w:val="superscript"/>
        </w:rPr>
        <w:t xml:space="preserve"> </w:t>
      </w:r>
      <w:r>
        <w:t>and Commission rules.</w:t>
      </w:r>
    </w:p>
    <w:p w14:paraId="2A56BFC0" w14:textId="77777777" w:rsidR="005C2EE9" w:rsidRDefault="00E350AE">
      <w:pPr>
        <w:pStyle w:val="COLNumbered"/>
      </w:pPr>
      <w:r>
        <w:t>SOAH exercised jurisdiction over this proceeding in accordance with PURA § 14.053 and Texas Government Code § 2003.049.</w:t>
      </w:r>
    </w:p>
    <w:p w14:paraId="5D06FF97" w14:textId="77777777" w:rsidR="005C2EE9" w:rsidRDefault="00E350AE">
      <w:pPr>
        <w:pStyle w:val="COLNumbered"/>
      </w:pPr>
      <w:r>
        <w:t>CenterPoint Houston provided notice of the application in accordance with 16 TAC § 25.182(d)(13) and 16 TAC § 22.55, and CenterPoint Houston’s affidavit regarding the completion of notice complied with 16 TAC § 25.182(d)(14).</w:t>
      </w:r>
    </w:p>
    <w:p w14:paraId="708831B3" w14:textId="77777777" w:rsidR="005C2EE9" w:rsidRDefault="00E350AE">
      <w:pPr>
        <w:pStyle w:val="COLNumbered"/>
      </w:pPr>
      <w:r>
        <w:t>CenterPoint Houston’s application is sufficient under 16 TAC § 25.182(d)(10) and (d)(11).</w:t>
      </w:r>
    </w:p>
    <w:p w14:paraId="33E784CF" w14:textId="77777777" w:rsidR="005C2EE9" w:rsidRDefault="00E350AE">
      <w:pPr>
        <w:pStyle w:val="COLNumbered"/>
      </w:pPr>
      <w:r>
        <w:t>The hearing on the merits was set, and notice of the hearing was given, in compliance with Texas Government Code §§ 2001.051 and 2001.052.</w:t>
      </w:r>
    </w:p>
    <w:p w14:paraId="53DEB883" w14:textId="77777777" w:rsidR="005C2EE9" w:rsidRDefault="00E350AE">
      <w:pPr>
        <w:pStyle w:val="COLNumbered"/>
      </w:pPr>
      <w:r>
        <w:t>CenterPoint Houston calculated its weather-adjusted average annual growth in demand in compliance with 16 TAC § 25.181(e)(3).</w:t>
      </w:r>
    </w:p>
    <w:p w14:paraId="22596617" w14:textId="77777777" w:rsidR="005C2EE9" w:rsidRDefault="00E350AE">
      <w:pPr>
        <w:pStyle w:val="COLNumbered"/>
      </w:pPr>
      <w:r>
        <w:t>CenterPoint Houston has acquired a reduction of four-tenths of 1% of its summer weather</w:t>
      </w:r>
      <w:r>
        <w:noBreakHyphen/>
        <w:t>adjusted peak demand of residential and commercial customers in compliance with 16 TAC § 25.181(e)(1)(B) and (e)(1)(C) and (e)(3)(B).</w:t>
      </w:r>
    </w:p>
    <w:p w14:paraId="5AAE346E" w14:textId="3A1324E0" w:rsidR="005C2EE9" w:rsidRDefault="00E350AE">
      <w:pPr>
        <w:pStyle w:val="COLNumbered"/>
      </w:pPr>
      <w:r>
        <w:t>CenterPoint Houston’s 202</w:t>
      </w:r>
      <w:r w:rsidR="00E20059">
        <w:t>4</w:t>
      </w:r>
      <w:r>
        <w:t xml:space="preserve"> demand-reduction goal complies with 16 TAC § 25.181(e)(1)(D)</w:t>
      </w:r>
      <w:r w:rsidR="001B772A">
        <w:t xml:space="preserve"> that a utility’s demand-reduction goal may not be lower than the previous year’s goal except as adjusted under 16 TAC § 25.181(u) for industrial customer exclusions</w:t>
      </w:r>
      <w:r>
        <w:t>.</w:t>
      </w:r>
    </w:p>
    <w:p w14:paraId="681E4304" w14:textId="7EEDC0D8" w:rsidR="005C2EE9" w:rsidRDefault="00E350AE">
      <w:pPr>
        <w:pStyle w:val="COLNumbered"/>
      </w:pPr>
      <w:r>
        <w:t xml:space="preserve">CenterPoint Houston calculated its minimum energy-savings goal </w:t>
      </w:r>
      <w:r w:rsidR="001B772A">
        <w:t xml:space="preserve">using a 20% conservation load factor </w:t>
      </w:r>
      <w:r>
        <w:t>in compliance with 16 TAC § 25.181(e)(4).</w:t>
      </w:r>
    </w:p>
    <w:p w14:paraId="6BFDCF3C" w14:textId="056AD1AC" w:rsidR="005C2EE9" w:rsidRDefault="00E350AE">
      <w:pPr>
        <w:pStyle w:val="COLNumbered"/>
      </w:pPr>
      <w:r>
        <w:t xml:space="preserve">CenterPoint Houston’s programs </w:t>
      </w:r>
      <w:r w:rsidR="001B772A">
        <w:t xml:space="preserve">for hard-to-reach customers </w:t>
      </w:r>
      <w:r>
        <w:t>achieve</w:t>
      </w:r>
      <w:r w:rsidR="001B772A">
        <w:t xml:space="preserve"> savings of at least</w:t>
      </w:r>
      <w:r>
        <w:t xml:space="preserve"> 5% of </w:t>
      </w:r>
      <w:r w:rsidR="001B772A">
        <w:t>the demand reduction goal</w:t>
      </w:r>
      <w:r>
        <w:t xml:space="preserve"> as required by 16 TAC § 25.181(e)(3)(F).</w:t>
      </w:r>
    </w:p>
    <w:p w14:paraId="03042863" w14:textId="77777777" w:rsidR="005C2EE9" w:rsidRDefault="00E350AE">
      <w:pPr>
        <w:pStyle w:val="COLNumbered"/>
      </w:pPr>
      <w:r>
        <w:t>CenterPoint Houston’s portfolio of energy-efficiency programs effectively and efficiently achieves the goals set out in PURA § 39.905(a) and 16 TAC § 25.181 as required by 16 TAC § 25.181(e)(5).</w:t>
      </w:r>
    </w:p>
    <w:p w14:paraId="518E0D8B" w14:textId="62F03623" w:rsidR="005C2EE9" w:rsidRDefault="00E350AE">
      <w:pPr>
        <w:pStyle w:val="COLNumbered"/>
      </w:pPr>
      <w:r>
        <w:t>CenterPoint Houston’s EECRF uses only energy charges to recover energy-efficiency costs for residential and commercial rate classes included in the EECRF in compliance with 16</w:t>
      </w:r>
      <w:r w:rsidR="00D80B0A">
        <w:t> </w:t>
      </w:r>
      <w:r>
        <w:t>TAC § 25.182(d)(6).</w:t>
      </w:r>
    </w:p>
    <w:p w14:paraId="51AA7473" w14:textId="77777777" w:rsidR="005C2EE9" w:rsidRDefault="00E350AE">
      <w:pPr>
        <w:pStyle w:val="COLNumbered"/>
      </w:pPr>
      <w:r>
        <w:t>CenterPoint Houston’s proposed EECRF rates comply with the requirements for cost caps under 16 TAC § 25.182(d)(7).</w:t>
      </w:r>
    </w:p>
    <w:p w14:paraId="1342404A" w14:textId="7B8B6BC4" w:rsidR="005C2EE9" w:rsidRDefault="00E350AE">
      <w:pPr>
        <w:pStyle w:val="COLNumbered"/>
      </w:pPr>
      <w:r>
        <w:t xml:space="preserve">CenterPoint Houston’s </w:t>
      </w:r>
      <w:r w:rsidR="001B772A">
        <w:t>request to refund</w:t>
      </w:r>
      <w:r>
        <w:t xml:space="preserve"> $</w:t>
      </w:r>
      <w:r w:rsidR="00C16C61">
        <w:t>512,486</w:t>
      </w:r>
      <w:r>
        <w:t xml:space="preserve"> for the </w:t>
      </w:r>
      <w:r w:rsidR="00E20059">
        <w:t>over</w:t>
      </w:r>
      <w:r>
        <w:t>-recovery of 202</w:t>
      </w:r>
      <w:r w:rsidR="00C16C61">
        <w:t>3</w:t>
      </w:r>
      <w:r>
        <w:t xml:space="preserve"> program costs and $</w:t>
      </w:r>
      <w:r w:rsidR="00C16C61">
        <w:t>31,509</w:t>
      </w:r>
      <w:r>
        <w:t xml:space="preserve"> for calculated interest on the </w:t>
      </w:r>
      <w:r w:rsidR="00E20059">
        <w:t>over</w:t>
      </w:r>
      <w:r>
        <w:t>-recovery, complies with PURA § 39.905(b-1) and 16 TAC § 25.182(d)(2).</w:t>
      </w:r>
    </w:p>
    <w:p w14:paraId="6FA9088F" w14:textId="77777777" w:rsidR="005C2EE9" w:rsidRDefault="00E350AE">
      <w:pPr>
        <w:pStyle w:val="COLNumbered"/>
      </w:pPr>
      <w:r>
        <w:t>EECRF proceeding expenses are rate-case expenses.</w:t>
      </w:r>
    </w:p>
    <w:p w14:paraId="42BA4033" w14:textId="77777777" w:rsidR="005C2EE9" w:rsidRDefault="00E350AE">
      <w:pPr>
        <w:pStyle w:val="COLNumbered"/>
      </w:pPr>
      <w:r>
        <w:t>The requirements of 16 TAC §§ 25.182(d)(3) and 25.245 apply to the recovery of EECRF proceeding expenses.</w:t>
      </w:r>
    </w:p>
    <w:p w14:paraId="7E3DADE1" w14:textId="1316E8B7" w:rsidR="005C2EE9" w:rsidRDefault="00E350AE">
      <w:pPr>
        <w:pStyle w:val="COLNumbered"/>
      </w:pPr>
      <w:r>
        <w:t>CenterPoint Houston’s 202</w:t>
      </w:r>
      <w:r w:rsidR="00C16C61">
        <w:t>3</w:t>
      </w:r>
      <w:r>
        <w:t xml:space="preserve"> rate-case expenses of $</w:t>
      </w:r>
      <w:r w:rsidR="00C16C61">
        <w:t>28,653.20</w:t>
      </w:r>
      <w:r w:rsidR="00E20059">
        <w:t xml:space="preserve"> </w:t>
      </w:r>
      <w:r>
        <w:t>comply with PURA § 36.061(b)(2) and 16 TAC §§ 25.182(d)(3)(A) and 25.245.</w:t>
      </w:r>
    </w:p>
    <w:p w14:paraId="1F448A46" w14:textId="33039CBA" w:rsidR="005C2EE9" w:rsidRDefault="00E350AE">
      <w:pPr>
        <w:pStyle w:val="COLNumbered"/>
      </w:pPr>
      <w:r>
        <w:t>GCCC’s 202</w:t>
      </w:r>
      <w:r w:rsidR="00C16C61">
        <w:t>3</w:t>
      </w:r>
      <w:r>
        <w:t xml:space="preserve"> rate-case expenses of $</w:t>
      </w:r>
      <w:r w:rsidR="00C16C61">
        <w:t>9,437.50</w:t>
      </w:r>
      <w:r>
        <w:t xml:space="preserve"> comply with PURA § 33.023(a) and 16 TAC §§ 25.182(d)(3)(B) and 25.245.</w:t>
      </w:r>
    </w:p>
    <w:p w14:paraId="23796AE2" w14:textId="6428FF78" w:rsidR="005C2EE9" w:rsidRDefault="00E350AE">
      <w:pPr>
        <w:pStyle w:val="COLNumbered"/>
      </w:pPr>
      <w:r>
        <w:t>The City of Houston’s 202</w:t>
      </w:r>
      <w:r w:rsidR="00C16C61">
        <w:t>3</w:t>
      </w:r>
      <w:r>
        <w:t xml:space="preserve"> rate-case of expenses of $</w:t>
      </w:r>
      <w:r w:rsidR="008444EB">
        <w:t>7,510</w:t>
      </w:r>
      <w:r>
        <w:t xml:space="preserve"> comply with PURA § 33.023(a) and 16 TAC §§ 25.182(d)(3)(B) and 25.245.</w:t>
      </w:r>
    </w:p>
    <w:p w14:paraId="04063693" w14:textId="4EF4DB60" w:rsidR="005C2EE9" w:rsidRDefault="00E350AE">
      <w:pPr>
        <w:pStyle w:val="COLNumbered"/>
      </w:pPr>
      <w:r>
        <w:t>Under PURA § 33.023(b), CenterPoint Houston is required to reimburse GCCC and the City of Houston for their reasonable rate-case expenses incurred in its 202</w:t>
      </w:r>
      <w:r w:rsidR="008444EB">
        <w:t>3</w:t>
      </w:r>
      <w:r>
        <w:t xml:space="preserve"> EECRF proceeding.</w:t>
      </w:r>
    </w:p>
    <w:p w14:paraId="7D684A0A" w14:textId="209F429B" w:rsidR="005C2EE9" w:rsidRDefault="00E350AE">
      <w:pPr>
        <w:pStyle w:val="COLNumbered"/>
      </w:pPr>
      <w:r>
        <w:t>CenterPoint Houston qualified for and accurately calculated the agreed energy-efficiency performance bonus of $</w:t>
      </w:r>
      <w:r w:rsidR="008444EB">
        <w:t>15,032,510</w:t>
      </w:r>
      <w:r>
        <w:t xml:space="preserve"> for its energy-efficiency achievements in program year 202</w:t>
      </w:r>
      <w:r w:rsidR="00BA5D53">
        <w:t>3</w:t>
      </w:r>
      <w:r>
        <w:t xml:space="preserve"> in compliance with the requirements of PURA § 39.905 and 16 TAC § 25.182(e).</w:t>
      </w:r>
    </w:p>
    <w:p w14:paraId="40C98C2F" w14:textId="31473EBB" w:rsidR="005C2EE9" w:rsidRDefault="00E350AE">
      <w:pPr>
        <w:pStyle w:val="COLNumbered"/>
      </w:pPr>
      <w:r>
        <w:t xml:space="preserve">The amounts and allocation of CenterPoint Houston’s administrative and research and development costs, as adjusted by the agreement among </w:t>
      </w:r>
      <w:r w:rsidR="0090259F">
        <w:t>Signatories</w:t>
      </w:r>
      <w:r>
        <w:t>, comply with 16 TAC § 25.181(g).</w:t>
      </w:r>
    </w:p>
    <w:p w14:paraId="0F13B7DA" w14:textId="0B66FC2F" w:rsidR="005C2EE9" w:rsidRDefault="00E350AE">
      <w:pPr>
        <w:pStyle w:val="COLNumbered"/>
      </w:pPr>
      <w:r>
        <w:t>CenterPoint Houston’s portfolio of energy-efficiency programs adhere to the cost-effectiveness parameters contained in 16 TAC § 25.181(d)</w:t>
      </w:r>
      <w:r w:rsidR="00570AF7">
        <w:t>, and the costs recovered were reasonable and necessary to reduce demand and energy growth under 16 TAC §</w:t>
      </w:r>
      <w:r w:rsidR="00D80B0A">
        <w:t> </w:t>
      </w:r>
      <w:r w:rsidR="00570AF7">
        <w:t>25.181(d)(12)</w:t>
      </w:r>
      <w:r>
        <w:t>.</w:t>
      </w:r>
    </w:p>
    <w:p w14:paraId="0280D255" w14:textId="761E086C" w:rsidR="005C2EE9" w:rsidRDefault="00E350AE">
      <w:pPr>
        <w:pStyle w:val="COLNumbered"/>
      </w:pPr>
      <w:r>
        <w:t>CenterPoint Houston’s 202</w:t>
      </w:r>
      <w:r w:rsidR="002E5C3A">
        <w:t>5</w:t>
      </w:r>
      <w:r>
        <w:t xml:space="preserve"> energy-efficiency program costs of $</w:t>
      </w:r>
      <w:r w:rsidR="002E5C3A">
        <w:t>47,682,074</w:t>
      </w:r>
      <w:r>
        <w:t xml:space="preserve"> to be recovered through the EECRF are reasonable estimates of the costs necessary to provide energy-efficiency programs in 202</w:t>
      </w:r>
      <w:r w:rsidR="002E5C3A">
        <w:t>5</w:t>
      </w:r>
      <w:r>
        <w:t xml:space="preserve"> in compliance with PURA </w:t>
      </w:r>
      <w:r>
        <w:rPr>
          <w:rFonts w:eastAsia="Arial"/>
        </w:rPr>
        <w:t>§ 39.905 and 16 TAC § 25.182(d)</w:t>
      </w:r>
      <w:r w:rsidR="00570AF7">
        <w:rPr>
          <w:rFonts w:eastAsia="Arial"/>
        </w:rPr>
        <w:t>(1) and (12)</w:t>
      </w:r>
      <w:r>
        <w:rPr>
          <w:rFonts w:eastAsia="Arial"/>
        </w:rPr>
        <w:t>.</w:t>
      </w:r>
    </w:p>
    <w:p w14:paraId="2311B9D5" w14:textId="66176AB6" w:rsidR="005C2EE9" w:rsidRDefault="00E350AE">
      <w:pPr>
        <w:pStyle w:val="COLNumbered"/>
        <w:rPr>
          <w:rFonts w:eastAsia="Arial"/>
        </w:rPr>
      </w:pPr>
      <w:r>
        <w:t>CenterPoint Houston</w:t>
      </w:r>
      <w:r>
        <w:rPr>
          <w:rFonts w:eastAsia="Arial"/>
        </w:rPr>
        <w:t xml:space="preserve">’s </w:t>
      </w:r>
      <w:r w:rsidR="00570AF7">
        <w:rPr>
          <w:rFonts w:eastAsia="Arial"/>
        </w:rPr>
        <w:t xml:space="preserve">net </w:t>
      </w:r>
      <w:r>
        <w:rPr>
          <w:rFonts w:eastAsia="Arial"/>
        </w:rPr>
        <w:t>cost recovery of $</w:t>
      </w:r>
      <w:r w:rsidR="002E5C3A">
        <w:t>62,740,346</w:t>
      </w:r>
      <w:r>
        <w:rPr>
          <w:rFonts w:eastAsia="Arial"/>
        </w:rPr>
        <w:t>—which consists of estimated 202</w:t>
      </w:r>
      <w:r w:rsidR="002E5C3A">
        <w:rPr>
          <w:rFonts w:eastAsia="Arial"/>
        </w:rPr>
        <w:t>5</w:t>
      </w:r>
      <w:r>
        <w:rPr>
          <w:rFonts w:eastAsia="Arial"/>
        </w:rPr>
        <w:t xml:space="preserve"> program costs, EM&amp;V expenses to be recovered in 202</w:t>
      </w:r>
      <w:r w:rsidR="002E5C3A">
        <w:rPr>
          <w:rFonts w:eastAsia="Arial"/>
        </w:rPr>
        <w:t>5</w:t>
      </w:r>
      <w:r>
        <w:rPr>
          <w:rFonts w:eastAsia="Arial"/>
        </w:rPr>
        <w:t xml:space="preserve">, CenterPoint Houston’s net </w:t>
      </w:r>
      <w:r w:rsidR="00DA4F56">
        <w:t>over</w:t>
      </w:r>
      <w:r>
        <w:t>-recovery of program year 202</w:t>
      </w:r>
      <w:r w:rsidR="002E5C3A">
        <w:t>3</w:t>
      </w:r>
      <w:r>
        <w:t xml:space="preserve"> energy-efficiency costs plus interest, CenterPoint Houston’s agreed performance bonus earned in 202</w:t>
      </w:r>
      <w:r w:rsidR="00DA4F56">
        <w:t>3</w:t>
      </w:r>
      <w:r>
        <w:t>, rate case expenses from Docket No. </w:t>
      </w:r>
      <w:r w:rsidR="002E5C3A">
        <w:t>55088</w:t>
      </w:r>
      <w:r>
        <w:t>, and an adjustment to lower the amount recovered through the EECRF revenue requirement—</w:t>
      </w:r>
      <w:r>
        <w:rPr>
          <w:rFonts w:eastAsia="Arial"/>
        </w:rPr>
        <w:t>complies with PURA § 39.905 and 16 TAC § 25.182(d).</w:t>
      </w:r>
    </w:p>
    <w:p w14:paraId="7A12E7A3" w14:textId="0A1E2861" w:rsidR="005C2EE9" w:rsidRDefault="00E350AE">
      <w:pPr>
        <w:pStyle w:val="COLNumbered"/>
      </w:pPr>
      <w:r>
        <w:t>The assignments and allocations of CenterPoint Houston’s proposed 202</w:t>
      </w:r>
      <w:r w:rsidR="002E5C3A">
        <w:t>5</w:t>
      </w:r>
      <w:r>
        <w:t xml:space="preserve"> EECRF rates to the rate classes are reasonable and comply with PURA § 39.905(b)(4) and 16 TAC § 25.182(d).</w:t>
      </w:r>
    </w:p>
    <w:p w14:paraId="424D3F17" w14:textId="77777777" w:rsidR="005C2EE9" w:rsidRDefault="00E350AE">
      <w:pPr>
        <w:pStyle w:val="COLNumbered"/>
      </w:pPr>
      <w:r>
        <w:t>CenterPoint Houston has adopted measures to foster competition among energy-efficiency service providers in compliance with 16 TAC § 25.181(g)(2).</w:t>
      </w:r>
    </w:p>
    <w:p w14:paraId="287A3E55" w14:textId="77777777" w:rsidR="005C2EE9" w:rsidRDefault="00E350AE">
      <w:pPr>
        <w:pStyle w:val="COLNumbered"/>
      </w:pPr>
      <w:r>
        <w:t>CenterPoint Houston’s standard offer and market transformation programs comply with PURA § 39.905(a)(3) and 16 TAC § 25.181(h) through (k).</w:t>
      </w:r>
    </w:p>
    <w:p w14:paraId="74B608B6" w14:textId="77777777" w:rsidR="005C2EE9" w:rsidRDefault="00E350AE">
      <w:pPr>
        <w:pStyle w:val="COLNumbered"/>
      </w:pPr>
      <w:r>
        <w:t>CenterPoint Houston’s incentive payments, which do not exceed 100% of avoided cost, comply with 16 TAC § 25.181(f).</w:t>
      </w:r>
    </w:p>
    <w:p w14:paraId="0679130D" w14:textId="77777777" w:rsidR="005C2EE9" w:rsidRDefault="00E350AE">
      <w:pPr>
        <w:pStyle w:val="COLNumbered"/>
      </w:pPr>
      <w:r>
        <w:t>The annual expenditures for CenterPoint Houston’s targeted low-income energy-efficiency program exceed the minimum requirement of being 10% of the energy efficiency budget for the program year in compliance with PURA § 39.905(f) and 16 TAC § 25.181(p).</w:t>
      </w:r>
    </w:p>
    <w:p w14:paraId="6DDC809C" w14:textId="77777777" w:rsidR="005C2EE9" w:rsidRDefault="00E350AE">
      <w:pPr>
        <w:pStyle w:val="COLNumbered"/>
      </w:pPr>
      <w:r>
        <w:t>CenterPoint Houston’s outreach and information programs meet the requirement in PURA § 39.905(a)(4) and 16 TAC § 25.181(r) to encourage and facilitate the involvement of retail electric providers in the delivery of efficiency and demand-response programs.</w:t>
      </w:r>
    </w:p>
    <w:p w14:paraId="3F3EC4ED" w14:textId="77777777" w:rsidR="005C2EE9" w:rsidRDefault="00E350AE">
      <w:pPr>
        <w:pStyle w:val="COLNumbered"/>
      </w:pPr>
      <w:r>
        <w:t>The affiliate expenses included in CenterPoint Houston’s EECRF rates approved in this Order are reasonable and necessary and comply with PURA § 36.058 and 16 TAC §§ 25.181(c)(1), 25.182(d)(10)(1), and 25.272(e).</w:t>
      </w:r>
    </w:p>
    <w:p w14:paraId="6615936F" w14:textId="77777777" w:rsidR="005C2EE9" w:rsidRDefault="00E350AE">
      <w:pPr>
        <w:pStyle w:val="COLNumbered"/>
      </w:pPr>
      <w:r>
        <w:t>CenterPoint Houston’s load associated with industrial customers who provided qualifying identification notice was excluded from CenterPoint Houston’s calculated demand</w:t>
      </w:r>
      <w:r>
        <w:noBreakHyphen/>
        <w:t>reduction goal in accordance with 16 TAC § 25.181(u).</w:t>
      </w:r>
    </w:p>
    <w:p w14:paraId="64C5F345" w14:textId="37830C68" w:rsidR="005C2EE9" w:rsidRDefault="00570AF7">
      <w:pPr>
        <w:pStyle w:val="COLNumbered"/>
      </w:pPr>
      <w:r>
        <w:t>The</w:t>
      </w:r>
      <w:r w:rsidR="00E350AE">
        <w:t xml:space="preserve"> 202</w:t>
      </w:r>
      <w:r w:rsidR="002E5C3A">
        <w:t>5</w:t>
      </w:r>
      <w:r w:rsidR="00E350AE">
        <w:t xml:space="preserve"> EECRF rates </w:t>
      </w:r>
      <w:r>
        <w:t xml:space="preserve">approved by this order </w:t>
      </w:r>
      <w:r w:rsidR="00E350AE">
        <w:t>are just and reasonable under PURA § 36.003(a).</w:t>
      </w:r>
    </w:p>
    <w:p w14:paraId="19129821" w14:textId="778A11DA" w:rsidR="005C2EE9" w:rsidRDefault="00E350AE">
      <w:pPr>
        <w:pStyle w:val="COLNumbered"/>
      </w:pPr>
      <w:r>
        <w:t xml:space="preserve">In accordance with PURA § 36.003(b), </w:t>
      </w:r>
      <w:r w:rsidR="00570AF7">
        <w:t xml:space="preserve">the rates approved by this order </w:t>
      </w:r>
      <w:r>
        <w:t>are not unreasonably preferential, prejudicial, or discriminatory and are sufficient, equitable, and consistent in application to each consumer class.</w:t>
      </w:r>
    </w:p>
    <w:p w14:paraId="7962D957" w14:textId="77777777" w:rsidR="005C2EE9" w:rsidRDefault="00E350AE">
      <w:pPr>
        <w:pStyle w:val="COLNumbered"/>
      </w:pPr>
      <w:r>
        <w:t>In accordance with 16 TAC § 25.182(d)(9)(B), CenterPoint Houston is required to serve notice of the approved rates and the effective date of the approved rates on the retail electric providers that are authorized to provide service in its service area by the working day after CenterPoint Houston files its approved EECRF tariff with the Commission.  The notice may be served by email.</w:t>
      </w:r>
    </w:p>
    <w:p w14:paraId="6038D703" w14:textId="77777777" w:rsidR="005C2EE9" w:rsidRDefault="00E350AE">
      <w:pPr>
        <w:pStyle w:val="COLNumbered"/>
      </w:pPr>
      <w:r>
        <w:t>This proceeding meets the requirements for informal disposition under 16 TAC § 22.35.</w:t>
      </w:r>
    </w:p>
    <w:p w14:paraId="7F9D8A64" w14:textId="77777777" w:rsidR="005C2EE9" w:rsidRDefault="00E350AE">
      <w:pPr>
        <w:pStyle w:val="Heading1"/>
      </w:pPr>
      <w:r>
        <w:t>Ordering Paragraphs</w:t>
      </w:r>
    </w:p>
    <w:p w14:paraId="59D32BA4" w14:textId="77777777" w:rsidR="005C2EE9" w:rsidRDefault="00E350AE">
      <w:pPr>
        <w:pStyle w:val="BodyText"/>
      </w:pPr>
      <w:r>
        <w:t>In accordance with these findings of fact and conclusions of law, the Commission issues the following orders:</w:t>
      </w:r>
    </w:p>
    <w:p w14:paraId="153E2299" w14:textId="77777777" w:rsidR="005C2EE9" w:rsidRDefault="00E350AE">
      <w:pPr>
        <w:pStyle w:val="OrderingParagraph"/>
      </w:pPr>
      <w:r>
        <w:t>The Commission approves CenterPoint Houston’s EECRF, as modified by the agreement, to the extent provided in this Order.</w:t>
      </w:r>
    </w:p>
    <w:p w14:paraId="0BC21044" w14:textId="1271122B" w:rsidR="005C2EE9" w:rsidRDefault="00E350AE">
      <w:pPr>
        <w:pStyle w:val="OrderingParagraph"/>
      </w:pPr>
      <w:r>
        <w:t>The Commission approves CenterPoint Houston’s 202</w:t>
      </w:r>
      <w:r w:rsidR="002E5C3A">
        <w:t>5</w:t>
      </w:r>
      <w:r>
        <w:t xml:space="preserve"> EECRF in the amount of $</w:t>
      </w:r>
      <w:r w:rsidR="002E5C3A">
        <w:t>62,740,346</w:t>
      </w:r>
      <w:r>
        <w:t xml:space="preserve">, which is composed of the following: </w:t>
      </w:r>
    </w:p>
    <w:p w14:paraId="2EF6BB86" w14:textId="7A975107" w:rsidR="005C2EE9" w:rsidRDefault="00E350AE">
      <w:pPr>
        <w:pStyle w:val="OrderingParagraph"/>
        <w:numPr>
          <w:ilvl w:val="0"/>
          <w:numId w:val="0"/>
        </w:numPr>
        <w:ind w:left="720"/>
      </w:pPr>
      <w:r>
        <w:t>(a) CenterPoint Houston’s agreed forecasted energy-efficiency costs of $</w:t>
      </w:r>
      <w:r w:rsidR="002E5C3A">
        <w:t>47,682,074</w:t>
      </w:r>
      <w:r>
        <w:t xml:space="preserve"> in program year 202</w:t>
      </w:r>
      <w:r w:rsidR="002E5C3A">
        <w:t>5</w:t>
      </w:r>
      <w:r>
        <w:t xml:space="preserve">; </w:t>
      </w:r>
    </w:p>
    <w:p w14:paraId="4A84CDB5" w14:textId="7426D19D" w:rsidR="005C2EE9" w:rsidRDefault="00E350AE">
      <w:pPr>
        <w:pStyle w:val="OrderingParagraph"/>
        <w:numPr>
          <w:ilvl w:val="0"/>
          <w:numId w:val="0"/>
        </w:numPr>
        <w:ind w:left="720"/>
      </w:pPr>
      <w:r>
        <w:t>(b) EM&amp;V expenses of $52</w:t>
      </w:r>
      <w:r w:rsidR="00DA4F56">
        <w:t>4</w:t>
      </w:r>
      <w:r>
        <w:t>,</w:t>
      </w:r>
      <w:r w:rsidR="00DA4F56">
        <w:t>366</w:t>
      </w:r>
      <w:r>
        <w:t xml:space="preserve"> for the evaluation of program year 202</w:t>
      </w:r>
      <w:r w:rsidR="002E5C3A">
        <w:t>5</w:t>
      </w:r>
      <w:r>
        <w:t xml:space="preserve">; </w:t>
      </w:r>
    </w:p>
    <w:p w14:paraId="63D48446" w14:textId="12710EBC" w:rsidR="005C2EE9" w:rsidRDefault="00E350AE">
      <w:pPr>
        <w:pStyle w:val="OrderingParagraph"/>
        <w:numPr>
          <w:ilvl w:val="0"/>
          <w:numId w:val="0"/>
        </w:numPr>
        <w:ind w:left="720"/>
      </w:pPr>
      <w:r>
        <w:t>(c) a c</w:t>
      </w:r>
      <w:r w:rsidR="00DA4F56">
        <w:t>redit</w:t>
      </w:r>
      <w:r>
        <w:t xml:space="preserve"> of $</w:t>
      </w:r>
      <w:r w:rsidR="002E5C3A">
        <w:t>512,486</w:t>
      </w:r>
      <w:r>
        <w:t xml:space="preserve"> for the </w:t>
      </w:r>
      <w:r w:rsidR="00E038B5">
        <w:t xml:space="preserve">net </w:t>
      </w:r>
      <w:r>
        <w:t>under-recovery, including interest of $</w:t>
      </w:r>
      <w:r w:rsidR="002E5C3A">
        <w:t>31,509</w:t>
      </w:r>
      <w:r>
        <w:t>, of program year 202</w:t>
      </w:r>
      <w:r w:rsidR="002E5C3A">
        <w:t>3</w:t>
      </w:r>
      <w:r>
        <w:t xml:space="preserve"> energy-efficiency costs; </w:t>
      </w:r>
    </w:p>
    <w:p w14:paraId="6AE3645E" w14:textId="355D4817" w:rsidR="005C2EE9" w:rsidRDefault="00E350AE">
      <w:pPr>
        <w:pStyle w:val="OrderingParagraph"/>
        <w:numPr>
          <w:ilvl w:val="0"/>
          <w:numId w:val="0"/>
        </w:numPr>
        <w:ind w:left="720"/>
      </w:pPr>
      <w:r>
        <w:t>(e) rate-case expenses in the amount of $</w:t>
      </w:r>
      <w:r w:rsidR="00B8117E">
        <w:t>45,391</w:t>
      </w:r>
      <w:r>
        <w:t xml:space="preserve"> incurred by CenterPoint Houston, City of Houston, and </w:t>
      </w:r>
      <w:r w:rsidR="00030E5E">
        <w:t>GCCC</w:t>
      </w:r>
      <w:r>
        <w:t xml:space="preserve"> in Docket No. </w:t>
      </w:r>
      <w:r w:rsidR="00B8117E">
        <w:t>55088</w:t>
      </w:r>
      <w:r>
        <w:t xml:space="preserve">; and </w:t>
      </w:r>
    </w:p>
    <w:p w14:paraId="308E5C6A" w14:textId="680359F7" w:rsidR="005C2EE9" w:rsidRDefault="00E350AE">
      <w:pPr>
        <w:pStyle w:val="OrderingParagraph"/>
        <w:numPr>
          <w:ilvl w:val="0"/>
          <w:numId w:val="0"/>
        </w:numPr>
        <w:ind w:left="720"/>
      </w:pPr>
      <w:r>
        <w:t>(f) a performance bonus of $</w:t>
      </w:r>
      <w:r w:rsidR="00B8117E">
        <w:t>15,032,510</w:t>
      </w:r>
      <w:r>
        <w:t>.</w:t>
      </w:r>
    </w:p>
    <w:p w14:paraId="607C287F" w14:textId="7233E219" w:rsidR="005C2EE9" w:rsidRDefault="00E350AE">
      <w:pPr>
        <w:pStyle w:val="OrderingParagraph"/>
      </w:pPr>
      <w:r>
        <w:t xml:space="preserve">The Commission approves CenterPoint Houston’s EECRF tariff rider schedule attached as attachment B to </w:t>
      </w:r>
      <w:r w:rsidR="0090259F">
        <w:t>Signatories</w:t>
      </w:r>
      <w:r>
        <w:t>’ agreement.</w:t>
      </w:r>
    </w:p>
    <w:p w14:paraId="162A6FC0" w14:textId="1FF7A943" w:rsidR="005C2EE9" w:rsidRDefault="00E350AE">
      <w:pPr>
        <w:pStyle w:val="OrderingParagraph"/>
      </w:pPr>
      <w:r>
        <w:t>The Commission authorizes CenterPoint Houston to apply the EECRF tariff rider approved by this Order starting on March 1, 202</w:t>
      </w:r>
      <w:r w:rsidR="00B8117E">
        <w:t>5</w:t>
      </w:r>
      <w:r>
        <w:t>.</w:t>
      </w:r>
    </w:p>
    <w:p w14:paraId="750DC388" w14:textId="77777777" w:rsidR="005C2EE9" w:rsidRDefault="00E350AE">
      <w:pPr>
        <w:pStyle w:val="OrderingParagraph"/>
      </w:pPr>
      <w:r>
        <w:t xml:space="preserve">Within ten days of the date of this Order, CenterPoint Houston must provide a clean copy of the EECRF tariff approved by this Order to Central Records to be marked </w:t>
      </w:r>
      <w:r>
        <w:rPr>
          <w:i/>
        </w:rPr>
        <w:t xml:space="preserve">Approved </w:t>
      </w:r>
      <w:r>
        <w:t xml:space="preserve">and filed in the Commission’s tariff books.  </w:t>
      </w:r>
    </w:p>
    <w:p w14:paraId="2C132DBF" w14:textId="77777777" w:rsidR="005C2EE9" w:rsidRDefault="00E350AE">
      <w:pPr>
        <w:pStyle w:val="OrderingParagraph"/>
      </w:pPr>
      <w:r>
        <w:t xml:space="preserve">CenterPoint Houston must serve notice of the approved rates and the effective date of the approved ‎rates to retail electric providers that are authorized to provide service in its service area ‎by the </w:t>
      </w:r>
      <w:r w:rsidR="00812B23">
        <w:t xml:space="preserve">first </w:t>
      </w:r>
      <w:r>
        <w:t>working day after CenterPoint Houston files its approved EECRF tariff with ‎Central Records.  The notice may be served by email.‎</w:t>
      </w:r>
    </w:p>
    <w:p w14:paraId="76CEBD3E" w14:textId="2192F6E2" w:rsidR="005C2EE9" w:rsidRDefault="00E350AE">
      <w:pPr>
        <w:pStyle w:val="OrderingParagraph"/>
      </w:pPr>
      <w:r>
        <w:t>Within 30 days of this Order, CenterPoint Houston must reimburse GCCC $</w:t>
      </w:r>
      <w:r w:rsidR="006B13A9">
        <w:t>9,437.50</w:t>
      </w:r>
      <w:r>
        <w:t xml:space="preserve"> related to their 202</w:t>
      </w:r>
      <w:r w:rsidR="00B8117E">
        <w:t>3</w:t>
      </w:r>
      <w:r>
        <w:t xml:space="preserve"> EECRF rate case expenses. </w:t>
      </w:r>
    </w:p>
    <w:p w14:paraId="743EF0F3" w14:textId="0CFE32A9" w:rsidR="005C2EE9" w:rsidRDefault="00E350AE">
      <w:pPr>
        <w:pStyle w:val="OrderingParagraph"/>
      </w:pPr>
      <w:r>
        <w:t>Within 30 days of this Order, CenterPoint Houston must reimburse the City of Houston $</w:t>
      </w:r>
      <w:r w:rsidR="00B8117E">
        <w:t>7,510</w:t>
      </w:r>
      <w:r>
        <w:t xml:space="preserve"> related to its 202</w:t>
      </w:r>
      <w:r w:rsidR="00B8117E">
        <w:t>3</w:t>
      </w:r>
      <w:r>
        <w:t xml:space="preserve"> EECRF rate case expenses.</w:t>
      </w:r>
    </w:p>
    <w:p w14:paraId="2DAE9D2E" w14:textId="77777777" w:rsidR="005C2EE9" w:rsidRDefault="00E350AE">
      <w:pPr>
        <w:pStyle w:val="OrderingParagraph"/>
      </w:pPr>
      <w:r>
        <w:t>Entry of this Order does not indicate the Commission’s endorsement or approval of any principle or methodology that may underlie the agreement and must not be regarded as precedential as to the appropriateness of any principle or methodology underlying the agreement.</w:t>
      </w:r>
    </w:p>
    <w:p w14:paraId="1ED0ADC7" w14:textId="77777777" w:rsidR="005C2EE9" w:rsidRDefault="00E350AE">
      <w:pPr>
        <w:pStyle w:val="OrderingParagraph"/>
      </w:pPr>
      <w:r>
        <w:t xml:space="preserve">The Commission denies all other motions and any other requests for general or specific relief that have not been expressly granted. </w:t>
      </w:r>
    </w:p>
    <w:p w14:paraId="46A76A62" w14:textId="040B607A" w:rsidR="005C2EE9" w:rsidRDefault="00E350AE">
      <w:pPr>
        <w:pStyle w:val="Dateline"/>
        <w:spacing w:before="240"/>
      </w:pPr>
      <w:r>
        <w:t>Signed at Austin, Texas the ______ day of _________ 202</w:t>
      </w:r>
      <w:r w:rsidR="00B8117E">
        <w:t>4</w:t>
      </w:r>
      <w:r>
        <w:t>.</w:t>
      </w:r>
    </w:p>
    <w:p w14:paraId="1FA90932" w14:textId="77777777" w:rsidR="005C2EE9" w:rsidRDefault="005C2EE9">
      <w:pPr>
        <w:pStyle w:val="Dateline"/>
      </w:pPr>
    </w:p>
    <w:p w14:paraId="32D2839B" w14:textId="77777777" w:rsidR="005C2EE9" w:rsidRDefault="00E350AE">
      <w:pPr>
        <w:pStyle w:val="Signatures"/>
        <w:keepNext/>
      </w:pPr>
      <w:r>
        <w:t>PUBLIC UTILITY COMMISSION OF TEXAS</w:t>
      </w:r>
    </w:p>
    <w:p w14:paraId="510F8CE0" w14:textId="77777777" w:rsidR="005C2EE9" w:rsidRDefault="005C2EE9">
      <w:pPr>
        <w:pStyle w:val="Signatures"/>
        <w:keepNext/>
      </w:pPr>
    </w:p>
    <w:p w14:paraId="5C9C56B9" w14:textId="77777777" w:rsidR="005C2EE9" w:rsidRDefault="005C2EE9">
      <w:pPr>
        <w:pStyle w:val="Signatures"/>
        <w:keepNext/>
      </w:pPr>
    </w:p>
    <w:p w14:paraId="74B7DFE1" w14:textId="77777777" w:rsidR="005C2EE9" w:rsidRDefault="005C2EE9">
      <w:pPr>
        <w:pStyle w:val="Signatures"/>
        <w:keepNext/>
      </w:pPr>
    </w:p>
    <w:p w14:paraId="4D14B16D" w14:textId="77777777" w:rsidR="005C2EE9" w:rsidRDefault="00E350AE">
      <w:pPr>
        <w:pStyle w:val="Signatures"/>
        <w:keepNext/>
      </w:pPr>
      <w:r>
        <w:t>______________________________________________</w:t>
      </w:r>
    </w:p>
    <w:p w14:paraId="670D18F0" w14:textId="23FE6BAF" w:rsidR="005C2EE9" w:rsidRDefault="001A5100" w:rsidP="00354189">
      <w:pPr>
        <w:pStyle w:val="Signatures"/>
        <w:keepNext/>
      </w:pPr>
      <w:r>
        <w:t>THOMAS J. GLEESON</w:t>
      </w:r>
      <w:r w:rsidR="00E350AE">
        <w:t>, CHAIR</w:t>
      </w:r>
    </w:p>
    <w:p w14:paraId="7C82ADAA" w14:textId="77777777" w:rsidR="005C2EE9" w:rsidRDefault="005C2EE9">
      <w:pPr>
        <w:pStyle w:val="Signatures"/>
        <w:keepNext/>
      </w:pPr>
    </w:p>
    <w:p w14:paraId="3C4D43FA" w14:textId="77777777" w:rsidR="005C2EE9" w:rsidRDefault="005C2EE9">
      <w:pPr>
        <w:pStyle w:val="Signatures"/>
        <w:keepNext/>
      </w:pPr>
    </w:p>
    <w:p w14:paraId="7B3592FA" w14:textId="77777777" w:rsidR="005C2EE9" w:rsidRDefault="00E350AE">
      <w:pPr>
        <w:pStyle w:val="Signatures"/>
        <w:keepNext/>
      </w:pPr>
      <w:r>
        <w:t>______________________________________________</w:t>
      </w:r>
    </w:p>
    <w:p w14:paraId="515473C2" w14:textId="77777777" w:rsidR="005C2EE9" w:rsidRDefault="00E350AE">
      <w:pPr>
        <w:pStyle w:val="Signatures"/>
        <w:keepNext/>
      </w:pPr>
      <w:r>
        <w:t>LORI COBOS, COMMISSIONER</w:t>
      </w:r>
    </w:p>
    <w:p w14:paraId="2FE9CBE5" w14:textId="77777777" w:rsidR="005C2EE9" w:rsidRDefault="005C2EE9">
      <w:pPr>
        <w:pStyle w:val="Signatures"/>
        <w:keepNext/>
      </w:pPr>
    </w:p>
    <w:p w14:paraId="373FD1AE" w14:textId="77777777" w:rsidR="005C2EE9" w:rsidRDefault="005C2EE9">
      <w:pPr>
        <w:pStyle w:val="Signatures"/>
        <w:keepNext/>
      </w:pPr>
    </w:p>
    <w:p w14:paraId="2B5EC6B1" w14:textId="77777777" w:rsidR="005C2EE9" w:rsidRDefault="00E350AE">
      <w:pPr>
        <w:pStyle w:val="Signatures"/>
        <w:keepNext/>
      </w:pPr>
      <w:r>
        <w:t>______________________________________________</w:t>
      </w:r>
    </w:p>
    <w:p w14:paraId="6DF93BDB" w14:textId="77777777" w:rsidR="005C2EE9" w:rsidRDefault="00E350AE">
      <w:pPr>
        <w:pStyle w:val="Signatures"/>
        <w:keepNext/>
      </w:pPr>
      <w:r>
        <w:rPr>
          <w:rFonts w:ascii="Times New Roman Bold" w:hAnsi="Times New Roman Bold"/>
          <w:caps/>
          <w:color w:val="444545"/>
          <w:lang w:val="en"/>
        </w:rPr>
        <w:t>Jimmy Glotfelty</w:t>
      </w:r>
      <w:bookmarkStart w:id="1" w:name="_GoBack"/>
      <w:bookmarkEnd w:id="1"/>
      <w:r>
        <w:t>, COMMISSIONER</w:t>
      </w:r>
    </w:p>
    <w:p w14:paraId="0D7A2C4F" w14:textId="37A0C596" w:rsidR="005C2EE9" w:rsidRDefault="005C2EE9"/>
    <w:p w14:paraId="2DC8E2A3" w14:textId="3C258837" w:rsidR="00354189" w:rsidRDefault="00354189"/>
    <w:p w14:paraId="22B7C381" w14:textId="7F324396" w:rsidR="00354189" w:rsidRDefault="00354189" w:rsidP="00354189">
      <w:pPr>
        <w:pStyle w:val="Signatures"/>
        <w:keepNext/>
      </w:pPr>
      <w:r>
        <w:t>______________________________________________</w:t>
      </w:r>
    </w:p>
    <w:p w14:paraId="7ED3F5D0" w14:textId="6071FC62" w:rsidR="00354189" w:rsidRDefault="00354189" w:rsidP="00354189">
      <w:pPr>
        <w:pStyle w:val="Signatures"/>
        <w:keepNext/>
      </w:pPr>
      <w:r>
        <w:t>KATHLEEN JACKSON, COMMISSIONER</w:t>
      </w:r>
    </w:p>
    <w:p w14:paraId="0FEC28C6" w14:textId="7A254641" w:rsidR="00354189" w:rsidRDefault="00354189" w:rsidP="00354189">
      <w:pPr>
        <w:pStyle w:val="Signatures"/>
        <w:keepNext/>
      </w:pPr>
    </w:p>
    <w:p w14:paraId="0305364F" w14:textId="7C35C694" w:rsidR="00354189" w:rsidRDefault="00354189" w:rsidP="00354189">
      <w:pPr>
        <w:pStyle w:val="Signatures"/>
        <w:keepNext/>
      </w:pPr>
    </w:p>
    <w:p w14:paraId="527BCE9D" w14:textId="77777777" w:rsidR="00354189" w:rsidRDefault="00354189" w:rsidP="00354189">
      <w:pPr>
        <w:pStyle w:val="Signatures"/>
        <w:keepNext/>
      </w:pPr>
      <w:r>
        <w:t>______________________________________________</w:t>
      </w:r>
    </w:p>
    <w:p w14:paraId="72B2366C" w14:textId="631069C8" w:rsidR="00354189" w:rsidRDefault="00354189" w:rsidP="00354189">
      <w:pPr>
        <w:pStyle w:val="Signatures"/>
        <w:keepNext/>
      </w:pPr>
      <w:r>
        <w:t>COURTNEY K. HJALTMAN, COMMISSIONER</w:t>
      </w:r>
    </w:p>
    <w:p w14:paraId="3B2DD662" w14:textId="77777777" w:rsidR="00354189" w:rsidRDefault="00354189" w:rsidP="00354189">
      <w:pPr>
        <w:pStyle w:val="Signatures"/>
        <w:keepNext/>
      </w:pPr>
    </w:p>
    <w:p w14:paraId="790D23D5" w14:textId="77777777" w:rsidR="005C2EE9" w:rsidRDefault="005C2EE9">
      <w:pPr>
        <w:pStyle w:val="EndMatter"/>
        <w:rPr>
          <w:sz w:val="16"/>
          <w:szCs w:val="16"/>
        </w:rPr>
      </w:pPr>
    </w:p>
    <w:sectPr w:rsidR="005C2EE9" w:rsidSect="00E350AE">
      <w:headerReference w:type="default" r:id="rId8"/>
      <w:footerReference w:type="default" r:id="rId9"/>
      <w:headerReference w:type="first" r:id="rId10"/>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8F9418" w14:textId="77777777" w:rsidR="00DF5D79" w:rsidRDefault="00DF5D79">
      <w:r>
        <w:separator/>
      </w:r>
    </w:p>
  </w:endnote>
  <w:endnote w:type="continuationSeparator" w:id="0">
    <w:p w14:paraId="23DC4218" w14:textId="77777777" w:rsidR="00DF5D79" w:rsidRDefault="00DF5D79">
      <w:r>
        <w:continuationSeparator/>
      </w:r>
    </w:p>
  </w:endnote>
  <w:endnote w:type="continuationNotice" w:id="1">
    <w:p w14:paraId="5F8FAB36" w14:textId="77777777" w:rsidR="00DF5D79" w:rsidRDefault="00DF5D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C03611" w14:textId="77777777" w:rsidR="00601224" w:rsidRDefault="00601224">
    <w:pPr>
      <w:pStyle w:val="Footer"/>
    </w:pPr>
  </w:p>
  <w:p w14:paraId="0DE708BD" w14:textId="0377ECD8" w:rsidR="00601224" w:rsidRDefault="00601224" w:rsidP="00E350AE">
    <w:pPr>
      <w:jc w:val="right"/>
    </w:pPr>
    <w:r>
      <w:rPr>
        <w:sz w:val="16"/>
      </w:rPr>
      <w:fldChar w:fldCharType="begin"/>
    </w:r>
    <w:r>
      <w:rPr>
        <w:sz w:val="16"/>
      </w:rPr>
      <w:instrText xml:space="preserve"> </w:instrText>
    </w:r>
    <w:r w:rsidRPr="00E350AE">
      <w:rPr>
        <w:sz w:val="16"/>
      </w:rPr>
      <w:instrText>IF "</w:instrText>
    </w:r>
    <w:r w:rsidRPr="00E350AE">
      <w:rPr>
        <w:sz w:val="16"/>
      </w:rPr>
      <w:fldChar w:fldCharType="begin"/>
    </w:r>
    <w:r w:rsidRPr="00E350AE">
      <w:rPr>
        <w:sz w:val="16"/>
      </w:rPr>
      <w:instrText xml:space="preserve"> DOCVARIABLE "SWDocIDLocation" </w:instrText>
    </w:r>
    <w:r w:rsidRPr="00E350AE">
      <w:rPr>
        <w:sz w:val="16"/>
      </w:rPr>
      <w:fldChar w:fldCharType="separate"/>
    </w:r>
    <w:r>
      <w:rPr>
        <w:sz w:val="16"/>
      </w:rPr>
      <w:instrText>4096</w:instrText>
    </w:r>
    <w:r w:rsidRPr="00E350AE">
      <w:rPr>
        <w:sz w:val="16"/>
      </w:rPr>
      <w:fldChar w:fldCharType="end"/>
    </w:r>
    <w:r w:rsidRPr="00E350AE">
      <w:rPr>
        <w:sz w:val="16"/>
      </w:rPr>
      <w:instrText>" = "6" "</w:instrText>
    </w:r>
    <w:r w:rsidRPr="00E350AE">
      <w:rPr>
        <w:sz w:val="16"/>
      </w:rPr>
      <w:fldChar w:fldCharType="begin"/>
    </w:r>
    <w:r w:rsidRPr="00E350AE">
      <w:rPr>
        <w:sz w:val="16"/>
      </w:rPr>
      <w:instrText xml:space="preserve"> DOCPROPERTY "SWDocID" </w:instrText>
    </w:r>
    <w:r w:rsidRPr="00E350AE">
      <w:rPr>
        <w:sz w:val="16"/>
      </w:rPr>
      <w:fldChar w:fldCharType="separate"/>
    </w:r>
    <w:r>
      <w:rPr>
        <w:sz w:val="16"/>
      </w:rPr>
      <w:instrText xml:space="preserve">AUS 3105030.1 </w:instrText>
    </w:r>
    <w:r w:rsidRPr="00E350AE">
      <w:rPr>
        <w:sz w:val="16"/>
      </w:rPr>
      <w:fldChar w:fldCharType="end"/>
    </w:r>
    <w:r w:rsidRPr="00E350AE">
      <w:rPr>
        <w:sz w:val="16"/>
      </w:rPr>
      <w:instrText>" ""</w:instrText>
    </w:r>
    <w:r>
      <w:rPr>
        <w:sz w:val="16"/>
      </w:rPr>
      <w:instrText xml:space="preserve"> </w:instrText>
    </w:r>
    <w:r>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7D9488" w14:textId="77777777" w:rsidR="00DF5D79" w:rsidRDefault="00DF5D79">
      <w:r>
        <w:separator/>
      </w:r>
    </w:p>
  </w:footnote>
  <w:footnote w:type="continuationSeparator" w:id="0">
    <w:p w14:paraId="15CB1C74" w14:textId="77777777" w:rsidR="00DF5D79" w:rsidRDefault="00DF5D79">
      <w:r>
        <w:continuationSeparator/>
      </w:r>
    </w:p>
  </w:footnote>
  <w:footnote w:type="continuationNotice" w:id="1">
    <w:p w14:paraId="605ADBCF" w14:textId="77777777" w:rsidR="00DF5D79" w:rsidRDefault="00DF5D79"/>
  </w:footnote>
  <w:footnote w:id="2">
    <w:p w14:paraId="46A058AC" w14:textId="05D2CC79" w:rsidR="00601224" w:rsidRDefault="00601224">
      <w:pPr>
        <w:pStyle w:val="FootnoteText"/>
      </w:pPr>
      <w:r>
        <w:rPr>
          <w:rStyle w:val="FootnoteReference"/>
        </w:rPr>
        <w:footnoteRef/>
      </w:r>
      <w:r>
        <w:t xml:space="preserve"> Public Utility Regulatory Act, Tex. Util. Code §§ 11.001-66.016. </w:t>
      </w:r>
    </w:p>
  </w:footnote>
  <w:footnote w:id="3">
    <w:p w14:paraId="4AD4F671" w14:textId="3BBA093A" w:rsidR="00601224" w:rsidRDefault="00601224">
      <w:pPr>
        <w:pStyle w:val="FootnoteText"/>
      </w:pPr>
      <w:r>
        <w:rPr>
          <w:rStyle w:val="FootnoteReference"/>
        </w:rPr>
        <w:footnoteRef/>
      </w:r>
      <w:r>
        <w:t xml:space="preserve">  </w:t>
      </w:r>
      <w:r>
        <w:rPr>
          <w:i/>
        </w:rPr>
        <w:t>Application of CenterPoint Energy Houston Electric, LLC to Adjust its Energy Efficiency Cost Recovery Factor</w:t>
      </w:r>
      <w:r>
        <w:t>, Docket No. 55088, Order (Nov. 3, 2023).</w:t>
      </w:r>
    </w:p>
  </w:footnote>
  <w:footnote w:id="4">
    <w:p w14:paraId="66FF2BD5" w14:textId="687460F0" w:rsidR="00601224" w:rsidRPr="008A2A03" w:rsidRDefault="00601224">
      <w:pPr>
        <w:pStyle w:val="FootnoteText"/>
        <w:jc w:val="both"/>
      </w:pPr>
      <w:r>
        <w:rPr>
          <w:rStyle w:val="FootnoteReference"/>
        </w:rPr>
        <w:footnoteRef/>
      </w:r>
      <w:r>
        <w:t xml:space="preserve"> </w:t>
      </w:r>
      <w:r>
        <w:rPr>
          <w:i/>
        </w:rPr>
        <w:t>Application of CenterPoint Energy Houston Electric, LLC for Authority to Change Rates</w:t>
      </w:r>
      <w:r>
        <w:t>, Docket No. 49421, Final Order (Mar. 9, 2020)</w:t>
      </w:r>
      <w:r w:rsidR="008A2A03">
        <w:t xml:space="preserve">, </w:t>
      </w:r>
      <w:r w:rsidR="008A2A03" w:rsidRPr="008A2A03">
        <w:rPr>
          <w:i/>
        </w:rPr>
        <w:t>Application of</w:t>
      </w:r>
      <w:r w:rsidR="008A2A03">
        <w:t xml:space="preserve"> </w:t>
      </w:r>
      <w:r w:rsidR="008A2A03">
        <w:rPr>
          <w:i/>
        </w:rPr>
        <w:t>CenterPoint Energy Houston Electric, LLC for Authority to Change Rates</w:t>
      </w:r>
      <w:r w:rsidR="008A2A03">
        <w:t>, Docket No. 56211 (pending).</w:t>
      </w:r>
    </w:p>
    <w:p w14:paraId="664181F6" w14:textId="77777777" w:rsidR="00601224" w:rsidRDefault="00601224">
      <w:pPr>
        <w:pStyle w:val="FootnoteText"/>
      </w:pPr>
    </w:p>
  </w:footnote>
  <w:footnote w:id="5">
    <w:p w14:paraId="4723CB70" w14:textId="47946A70" w:rsidR="00601224" w:rsidRDefault="00601224">
      <w:pPr>
        <w:pStyle w:val="FootnoteText"/>
      </w:pPr>
      <w:r>
        <w:rPr>
          <w:rStyle w:val="FootnoteReference"/>
        </w:rPr>
        <w:footnoteRef/>
      </w:r>
      <w:r>
        <w:t xml:space="preserve">  </w:t>
      </w:r>
      <w:r>
        <w:rPr>
          <w:i/>
        </w:rPr>
        <w:t>CY 2023 Electric Utility Energy Efficiency Plan and Report</w:t>
      </w:r>
      <w:r>
        <w:rPr>
          <w:i/>
          <w:iCs/>
        </w:rPr>
        <w:t xml:space="preserve"> Under 16 TAC § 25.181</w:t>
      </w:r>
      <w:r>
        <w:t>, Project No. 5</w:t>
      </w:r>
      <w:r w:rsidR="00E43A93">
        <w:t>6003</w:t>
      </w:r>
      <w:r>
        <w:t>.</w:t>
      </w:r>
    </w:p>
  </w:footnote>
  <w:footnote w:id="6">
    <w:p w14:paraId="43405158" w14:textId="77777777" w:rsidR="00601224" w:rsidRDefault="00601224">
      <w:pPr>
        <w:pStyle w:val="FootnoteText"/>
      </w:pPr>
      <w:r>
        <w:rPr>
          <w:rStyle w:val="FootnoteReference"/>
        </w:rPr>
        <w:footnoteRef/>
      </w:r>
      <w:r>
        <w:t xml:space="preserve">  Tex. Gov’t Code §§ 2001.001–2001.903.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75C599" w14:textId="77777777" w:rsidR="00601224" w:rsidRDefault="00601224">
    <w:pPr>
      <w:pStyle w:val="Header"/>
      <w:tabs>
        <w:tab w:val="clear" w:pos="4680"/>
        <w:tab w:val="clear" w:pos="9360"/>
        <w:tab w:val="center" w:pos="4950"/>
      </w:tabs>
      <w:ind w:right="-540"/>
      <w:jc w:val="right"/>
      <w:rPr>
        <w:rFonts w:ascii="Arial" w:hAnsi="Arial" w:cs="Arial"/>
        <w:b w:val="0"/>
        <w:bCs/>
      </w:rPr>
    </w:pPr>
    <w:r>
      <w:rPr>
        <w:rFonts w:ascii="Arial" w:hAnsi="Arial" w:cs="Arial"/>
        <w:b w:val="0"/>
        <w:bCs/>
      </w:rPr>
      <w:t>Settlement Attachment A</w:t>
    </w:r>
  </w:p>
  <w:p w14:paraId="7B2A3BB8" w14:textId="77777777" w:rsidR="00601224" w:rsidRDefault="00601224">
    <w:pPr>
      <w:pStyle w:val="Header"/>
      <w:tabs>
        <w:tab w:val="clear" w:pos="4680"/>
        <w:tab w:val="clear" w:pos="9360"/>
        <w:tab w:val="center" w:pos="4950"/>
      </w:tabs>
      <w:ind w:right="-540"/>
      <w:jc w:val="right"/>
      <w:rPr>
        <w:rFonts w:ascii="Arial" w:hAnsi="Arial" w:cs="Arial"/>
        <w:b w:val="0"/>
        <w:bCs/>
      </w:rPr>
    </w:pPr>
    <w:r>
      <w:rPr>
        <w:rFonts w:ascii="Arial" w:hAnsi="Arial" w:cs="Arial"/>
        <w:b w:val="0"/>
        <w:bCs/>
      </w:rPr>
      <w:t xml:space="preserve">Page </w:t>
    </w:r>
    <w:r>
      <w:rPr>
        <w:rFonts w:ascii="Arial" w:hAnsi="Arial" w:cs="Arial"/>
        <w:b w:val="0"/>
        <w:bCs/>
      </w:rPr>
      <w:fldChar w:fldCharType="begin"/>
    </w:r>
    <w:r>
      <w:rPr>
        <w:rFonts w:ascii="Arial" w:hAnsi="Arial" w:cs="Arial"/>
        <w:b w:val="0"/>
        <w:bCs/>
      </w:rPr>
      <w:instrText xml:space="preserve"> PAGE  \* Arabic  \* MERGEFORMAT </w:instrText>
    </w:r>
    <w:r>
      <w:rPr>
        <w:rFonts w:ascii="Arial" w:hAnsi="Arial" w:cs="Arial"/>
        <w:b w:val="0"/>
        <w:bCs/>
      </w:rPr>
      <w:fldChar w:fldCharType="separate"/>
    </w:r>
    <w:r>
      <w:rPr>
        <w:rFonts w:ascii="Arial" w:hAnsi="Arial" w:cs="Arial"/>
        <w:b w:val="0"/>
        <w:bCs/>
        <w:noProof/>
      </w:rPr>
      <w:t>20</w:t>
    </w:r>
    <w:r>
      <w:rPr>
        <w:rFonts w:ascii="Arial" w:hAnsi="Arial" w:cs="Arial"/>
        <w:b w:val="0"/>
        <w:bCs/>
      </w:rPr>
      <w:fldChar w:fldCharType="end"/>
    </w:r>
    <w:r>
      <w:rPr>
        <w:rFonts w:ascii="Arial" w:hAnsi="Arial" w:cs="Arial"/>
        <w:b w:val="0"/>
        <w:bCs/>
      </w:rPr>
      <w:t xml:space="preserve"> of </w:t>
    </w:r>
    <w:r>
      <w:rPr>
        <w:rFonts w:ascii="Arial" w:hAnsi="Arial" w:cs="Arial"/>
        <w:b w:val="0"/>
        <w:bCs/>
      </w:rPr>
      <w:fldChar w:fldCharType="begin"/>
    </w:r>
    <w:r>
      <w:rPr>
        <w:rFonts w:ascii="Arial" w:hAnsi="Arial" w:cs="Arial"/>
        <w:b w:val="0"/>
        <w:bCs/>
      </w:rPr>
      <w:instrText xml:space="preserve"> NUMPAGES  \* Arabic  \* MERGEFORMAT </w:instrText>
    </w:r>
    <w:r>
      <w:rPr>
        <w:rFonts w:ascii="Arial" w:hAnsi="Arial" w:cs="Arial"/>
        <w:b w:val="0"/>
        <w:bCs/>
      </w:rPr>
      <w:fldChar w:fldCharType="separate"/>
    </w:r>
    <w:r>
      <w:rPr>
        <w:rFonts w:ascii="Arial" w:hAnsi="Arial" w:cs="Arial"/>
        <w:b w:val="0"/>
        <w:bCs/>
        <w:noProof/>
      </w:rPr>
      <w:t>20</w:t>
    </w:r>
    <w:r>
      <w:rPr>
        <w:rFonts w:ascii="Arial" w:hAnsi="Arial" w:cs="Arial"/>
        <w:b w:val="0"/>
        <w:bCs/>
      </w:rPr>
      <w:fldChar w:fldCharType="end"/>
    </w:r>
  </w:p>
  <w:p w14:paraId="1E420A71" w14:textId="77777777" w:rsidR="00601224" w:rsidRDefault="00601224">
    <w:pPr>
      <w:pStyle w:val="Header"/>
      <w:tabs>
        <w:tab w:val="clear" w:pos="4680"/>
        <w:tab w:val="center" w:pos="4950"/>
      </w:tabs>
      <w:jc w:val="right"/>
      <w:rPr>
        <w:b w:val="0"/>
        <w:bCs/>
      </w:rPr>
    </w:pPr>
  </w:p>
  <w:p w14:paraId="6697608C" w14:textId="3AA4A26D" w:rsidR="00601224" w:rsidRDefault="00601224">
    <w:pPr>
      <w:pStyle w:val="Header"/>
      <w:tabs>
        <w:tab w:val="clear" w:pos="4680"/>
        <w:tab w:val="center" w:pos="4950"/>
      </w:tabs>
    </w:pPr>
    <w:r>
      <w:t>PUC Docket No. 56690</w:t>
    </w:r>
    <w:r>
      <w:tab/>
      <w:t>Proposed Order</w:t>
    </w:r>
    <w:r>
      <w:tab/>
      <w:t xml:space="preserve">Page </w:t>
    </w:r>
    <w:r>
      <w:fldChar w:fldCharType="begin"/>
    </w:r>
    <w:r>
      <w:instrText xml:space="preserve"> PAGE   \* MERGEFORMAT </w:instrText>
    </w:r>
    <w:r>
      <w:fldChar w:fldCharType="separate"/>
    </w:r>
    <w:r>
      <w:rPr>
        <w:noProof/>
      </w:rPr>
      <w:t>20</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20</w:t>
    </w:r>
    <w:r>
      <w:rPr>
        <w:noProof/>
      </w:rPr>
      <w:fldChar w:fldCharType="end"/>
    </w:r>
  </w:p>
  <w:p w14:paraId="585FD059" w14:textId="1D786E7A" w:rsidR="00601224" w:rsidRDefault="00601224">
    <w:pPr>
      <w:pStyle w:val="Header"/>
      <w:tabs>
        <w:tab w:val="clear" w:pos="4680"/>
        <w:tab w:val="center" w:pos="4950"/>
      </w:tabs>
    </w:pPr>
    <w:r>
      <w:t>SOAH Docket No. </w:t>
    </w:r>
    <w:r>
      <w:rPr>
        <w:rFonts w:eastAsia="Times New Roman"/>
        <w:szCs w:val="20"/>
      </w:rPr>
      <w:t>473-24-19708</w:t>
    </w:r>
  </w:p>
  <w:p w14:paraId="6EC8B8FA" w14:textId="77777777" w:rsidR="00601224" w:rsidRDefault="006012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7DB721" w14:textId="77777777" w:rsidR="00601224" w:rsidRDefault="00601224">
    <w:pPr>
      <w:pStyle w:val="Header"/>
      <w:tabs>
        <w:tab w:val="clear" w:pos="9360"/>
      </w:tabs>
      <w:ind w:right="-540"/>
      <w:jc w:val="right"/>
      <w:rPr>
        <w:rFonts w:ascii="Arial" w:hAnsi="Arial" w:cs="Arial"/>
        <w:b w:val="0"/>
        <w:bCs/>
      </w:rPr>
    </w:pPr>
    <w:r>
      <w:rPr>
        <w:rFonts w:ascii="Arial" w:hAnsi="Arial" w:cs="Arial"/>
        <w:b w:val="0"/>
        <w:bCs/>
      </w:rPr>
      <w:t>Settlement Attachment A</w:t>
    </w:r>
  </w:p>
  <w:p w14:paraId="65E72C73" w14:textId="77777777" w:rsidR="00601224" w:rsidRDefault="00601224">
    <w:pPr>
      <w:pStyle w:val="Header"/>
      <w:tabs>
        <w:tab w:val="clear" w:pos="9360"/>
      </w:tabs>
      <w:ind w:right="-540"/>
      <w:jc w:val="right"/>
      <w:rPr>
        <w:rFonts w:ascii="Arial" w:hAnsi="Arial" w:cs="Arial"/>
        <w:b w:val="0"/>
        <w:bCs/>
      </w:rPr>
    </w:pPr>
    <w:r>
      <w:rPr>
        <w:rFonts w:ascii="Arial" w:hAnsi="Arial" w:cs="Arial"/>
        <w:b w:val="0"/>
        <w:bCs/>
      </w:rPr>
      <w:t xml:space="preserve">Page 1 of </w:t>
    </w:r>
    <w:r>
      <w:rPr>
        <w:rFonts w:ascii="Arial" w:hAnsi="Arial" w:cs="Arial"/>
        <w:b w:val="0"/>
        <w:bCs/>
      </w:rPr>
      <w:fldChar w:fldCharType="begin"/>
    </w:r>
    <w:r>
      <w:rPr>
        <w:rFonts w:ascii="Arial" w:hAnsi="Arial" w:cs="Arial"/>
        <w:b w:val="0"/>
        <w:bCs/>
      </w:rPr>
      <w:instrText xml:space="preserve"> NUMPAGES  \* Arabic  \* MERGEFORMAT </w:instrText>
    </w:r>
    <w:r>
      <w:rPr>
        <w:rFonts w:ascii="Arial" w:hAnsi="Arial" w:cs="Arial"/>
        <w:b w:val="0"/>
        <w:bCs/>
      </w:rPr>
      <w:fldChar w:fldCharType="separate"/>
    </w:r>
    <w:r>
      <w:rPr>
        <w:rFonts w:ascii="Arial" w:hAnsi="Arial" w:cs="Arial"/>
        <w:b w:val="0"/>
        <w:bCs/>
      </w:rPr>
      <w:t>20</w:t>
    </w:r>
    <w:r>
      <w:rPr>
        <w:rFonts w:ascii="Arial" w:hAnsi="Arial" w:cs="Arial"/>
        <w:b w:val="0"/>
        <w:bC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C7726"/>
    <w:multiLevelType w:val="singleLevel"/>
    <w:tmpl w:val="C974120C"/>
    <w:lvl w:ilvl="0">
      <w:start w:val="1"/>
      <w:numFmt w:val="decimal"/>
      <w:lvlText w:val="%1."/>
      <w:lvlJc w:val="left"/>
      <w:pPr>
        <w:tabs>
          <w:tab w:val="num" w:pos="720"/>
        </w:tabs>
        <w:ind w:left="720" w:hanging="720"/>
      </w:pPr>
    </w:lvl>
  </w:abstractNum>
  <w:abstractNum w:abstractNumId="1" w15:restartNumberingAfterBreak="0">
    <w:nsid w:val="0A8F3D5E"/>
    <w:multiLevelType w:val="singleLevel"/>
    <w:tmpl w:val="C98A3386"/>
    <w:lvl w:ilvl="0">
      <w:start w:val="1"/>
      <w:numFmt w:val="decimal"/>
      <w:pStyle w:val="FOFNumbered"/>
      <w:lvlText w:val="%1."/>
      <w:lvlJc w:val="left"/>
      <w:pPr>
        <w:tabs>
          <w:tab w:val="num" w:pos="3240"/>
        </w:tabs>
        <w:ind w:left="3240" w:hanging="720"/>
      </w:pPr>
      <w:rPr>
        <w:rFonts w:hint="default"/>
        <w:sz w:val="24"/>
        <w:szCs w:val="24"/>
      </w:rPr>
    </w:lvl>
  </w:abstractNum>
  <w:abstractNum w:abstractNumId="2" w15:restartNumberingAfterBreak="0">
    <w:nsid w:val="0AD94B3F"/>
    <w:multiLevelType w:val="hybridMultilevel"/>
    <w:tmpl w:val="1FE4F02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5C782E"/>
    <w:multiLevelType w:val="hybridMultilevel"/>
    <w:tmpl w:val="BF8E4E8E"/>
    <w:lvl w:ilvl="0" w:tplc="E92607B0">
      <w:start w:val="1"/>
      <w:numFmt w:val="decimal"/>
      <w:pStyle w:val="OrderingParagraph"/>
      <w:lvlText w:val="%1."/>
      <w:lvlJc w:val="left"/>
      <w:pPr>
        <w:tabs>
          <w:tab w:val="num" w:pos="720"/>
        </w:tabs>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F729AB"/>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6"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7" w15:restartNumberingAfterBreak="0">
    <w:nsid w:val="55986CAC"/>
    <w:multiLevelType w:val="hybridMultilevel"/>
    <w:tmpl w:val="7A627D38"/>
    <w:lvl w:ilvl="0" w:tplc="F0F2334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E3033DC"/>
    <w:multiLevelType w:val="multilevel"/>
    <w:tmpl w:val="9CC85556"/>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decimal"/>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9"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89731CB"/>
    <w:multiLevelType w:val="hybridMultilevel"/>
    <w:tmpl w:val="DBF032B0"/>
    <w:lvl w:ilvl="0" w:tplc="B016B7DA">
      <w:start w:val="6"/>
      <w:numFmt w:val="decimal"/>
      <w:lvlText w:val="%1."/>
      <w:lvlJc w:val="left"/>
      <w:pPr>
        <w:tabs>
          <w:tab w:val="num" w:pos="720"/>
        </w:tabs>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F502CE1"/>
    <w:multiLevelType w:val="singleLevel"/>
    <w:tmpl w:val="1BF29ABA"/>
    <w:lvl w:ilvl="0">
      <w:start w:val="1"/>
      <w:numFmt w:val="decimal"/>
      <w:lvlText w:val="%1."/>
      <w:lvlJc w:val="left"/>
      <w:pPr>
        <w:tabs>
          <w:tab w:val="num" w:pos="720"/>
        </w:tabs>
        <w:ind w:left="720" w:hanging="720"/>
      </w:pPr>
    </w:lvl>
  </w:abstractNum>
  <w:abstractNum w:abstractNumId="12"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3"/>
  </w:num>
  <w:num w:numId="2">
    <w:abstractNumId w:val="6"/>
  </w:num>
  <w:num w:numId="3">
    <w:abstractNumId w:val="1"/>
  </w:num>
  <w:num w:numId="4">
    <w:abstractNumId w:val="12"/>
  </w:num>
  <w:num w:numId="5">
    <w:abstractNumId w:val="6"/>
  </w:num>
  <w:num w:numId="6">
    <w:abstractNumId w:val="9"/>
  </w:num>
  <w:num w:numId="7">
    <w:abstractNumId w:val="11"/>
  </w:num>
  <w:num w:numId="8">
    <w:abstractNumId w:val="0"/>
  </w:num>
  <w:num w:numId="9">
    <w:abstractNumId w:val="8"/>
  </w:num>
  <w:num w:numId="10">
    <w:abstractNumId w:val="4"/>
  </w:num>
  <w:num w:numId="11">
    <w:abstractNumId w:val="5"/>
  </w:num>
  <w:num w:numId="12">
    <w:abstractNumId w:val="1"/>
  </w:num>
  <w:num w:numId="13">
    <w:abstractNumId w:val="10"/>
  </w:num>
  <w:num w:numId="14">
    <w:abstractNumId w:val="1"/>
    <w:lvlOverride w:ilvl="0">
      <w:startOverride w:val="13"/>
    </w:lvlOverride>
  </w:num>
  <w:num w:numId="15">
    <w:abstractNumId w:val="7"/>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removePersonalInformation/>
  <w:removeDateAndTime/>
  <w:proofState w:spelling="clean"/>
  <w:defaultTabStop w:val="720"/>
  <w:characterSpacingControl w:val="doNotCompress"/>
  <w:hdrShapeDefaults>
    <o:shapedefaults v:ext="edit" spidmax="2054"/>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WDocIDLayout" w:val="1"/>
    <w:docVar w:name="SWDocIDLocation" w:val="4096"/>
  </w:docVars>
  <w:rsids>
    <w:rsidRoot w:val="005C2EE9"/>
    <w:rsid w:val="00015AE2"/>
    <w:rsid w:val="00030E5E"/>
    <w:rsid w:val="00034842"/>
    <w:rsid w:val="0004524D"/>
    <w:rsid w:val="000556D0"/>
    <w:rsid w:val="00057E88"/>
    <w:rsid w:val="00062669"/>
    <w:rsid w:val="00074090"/>
    <w:rsid w:val="00084911"/>
    <w:rsid w:val="000B05A9"/>
    <w:rsid w:val="000B2D42"/>
    <w:rsid w:val="000C1E43"/>
    <w:rsid w:val="000D0D5C"/>
    <w:rsid w:val="000F3A49"/>
    <w:rsid w:val="00104B0D"/>
    <w:rsid w:val="00110695"/>
    <w:rsid w:val="0011272D"/>
    <w:rsid w:val="0012694E"/>
    <w:rsid w:val="0015086E"/>
    <w:rsid w:val="0015102A"/>
    <w:rsid w:val="00174654"/>
    <w:rsid w:val="0018327B"/>
    <w:rsid w:val="001A37A8"/>
    <w:rsid w:val="001A5100"/>
    <w:rsid w:val="001B163E"/>
    <w:rsid w:val="001B1937"/>
    <w:rsid w:val="001B2227"/>
    <w:rsid w:val="001B54DC"/>
    <w:rsid w:val="001B772A"/>
    <w:rsid w:val="001C1DA1"/>
    <w:rsid w:val="001C4595"/>
    <w:rsid w:val="001E0BD6"/>
    <w:rsid w:val="001E4F93"/>
    <w:rsid w:val="00225FE0"/>
    <w:rsid w:val="0028184F"/>
    <w:rsid w:val="002927ED"/>
    <w:rsid w:val="00293F1F"/>
    <w:rsid w:val="002B7489"/>
    <w:rsid w:val="002C58B3"/>
    <w:rsid w:val="002D7381"/>
    <w:rsid w:val="002E5C3A"/>
    <w:rsid w:val="003308AD"/>
    <w:rsid w:val="00354189"/>
    <w:rsid w:val="00371570"/>
    <w:rsid w:val="003A26E3"/>
    <w:rsid w:val="003C0853"/>
    <w:rsid w:val="003D09C4"/>
    <w:rsid w:val="003E2467"/>
    <w:rsid w:val="003E5E18"/>
    <w:rsid w:val="003E6C02"/>
    <w:rsid w:val="003F10BF"/>
    <w:rsid w:val="00400113"/>
    <w:rsid w:val="00406674"/>
    <w:rsid w:val="00406DC2"/>
    <w:rsid w:val="00407516"/>
    <w:rsid w:val="00412DC5"/>
    <w:rsid w:val="00416B75"/>
    <w:rsid w:val="00422E27"/>
    <w:rsid w:val="004328E0"/>
    <w:rsid w:val="00443E40"/>
    <w:rsid w:val="00444E19"/>
    <w:rsid w:val="0046269A"/>
    <w:rsid w:val="0048100C"/>
    <w:rsid w:val="004813F4"/>
    <w:rsid w:val="00485E4C"/>
    <w:rsid w:val="004C7307"/>
    <w:rsid w:val="004D01EC"/>
    <w:rsid w:val="004D0539"/>
    <w:rsid w:val="004D6A36"/>
    <w:rsid w:val="004D6FE9"/>
    <w:rsid w:val="00502954"/>
    <w:rsid w:val="005075AB"/>
    <w:rsid w:val="00522EAA"/>
    <w:rsid w:val="00534286"/>
    <w:rsid w:val="00566791"/>
    <w:rsid w:val="00570AF7"/>
    <w:rsid w:val="00586B7D"/>
    <w:rsid w:val="005B37C5"/>
    <w:rsid w:val="005C2EE9"/>
    <w:rsid w:val="005C5452"/>
    <w:rsid w:val="005D3C0A"/>
    <w:rsid w:val="00601224"/>
    <w:rsid w:val="006018BD"/>
    <w:rsid w:val="0068557B"/>
    <w:rsid w:val="0069151A"/>
    <w:rsid w:val="006B13A9"/>
    <w:rsid w:val="006D3F5B"/>
    <w:rsid w:val="00703A10"/>
    <w:rsid w:val="00712A17"/>
    <w:rsid w:val="00722D85"/>
    <w:rsid w:val="0072723C"/>
    <w:rsid w:val="0076183B"/>
    <w:rsid w:val="00765BAC"/>
    <w:rsid w:val="00783D38"/>
    <w:rsid w:val="00786314"/>
    <w:rsid w:val="007A5231"/>
    <w:rsid w:val="00812B23"/>
    <w:rsid w:val="008444EB"/>
    <w:rsid w:val="00861196"/>
    <w:rsid w:val="0086133C"/>
    <w:rsid w:val="0087319D"/>
    <w:rsid w:val="00890BC5"/>
    <w:rsid w:val="008A1D73"/>
    <w:rsid w:val="008A2A03"/>
    <w:rsid w:val="008B3D00"/>
    <w:rsid w:val="008C2C9A"/>
    <w:rsid w:val="008C77B2"/>
    <w:rsid w:val="008D3263"/>
    <w:rsid w:val="008E17A1"/>
    <w:rsid w:val="008F1B57"/>
    <w:rsid w:val="008F3BBC"/>
    <w:rsid w:val="008F4AAF"/>
    <w:rsid w:val="008F675F"/>
    <w:rsid w:val="008F6ACE"/>
    <w:rsid w:val="0090259F"/>
    <w:rsid w:val="00920AD5"/>
    <w:rsid w:val="00926A20"/>
    <w:rsid w:val="009309DD"/>
    <w:rsid w:val="00944D97"/>
    <w:rsid w:val="00970D74"/>
    <w:rsid w:val="0099683C"/>
    <w:rsid w:val="009A1E82"/>
    <w:rsid w:val="009B0417"/>
    <w:rsid w:val="009C1B26"/>
    <w:rsid w:val="009D100F"/>
    <w:rsid w:val="009D30DA"/>
    <w:rsid w:val="009D61F9"/>
    <w:rsid w:val="009E00DD"/>
    <w:rsid w:val="00A03F98"/>
    <w:rsid w:val="00A1091D"/>
    <w:rsid w:val="00A44F8D"/>
    <w:rsid w:val="00A70858"/>
    <w:rsid w:val="00AB7484"/>
    <w:rsid w:val="00AC41C7"/>
    <w:rsid w:val="00AE6319"/>
    <w:rsid w:val="00AF3E14"/>
    <w:rsid w:val="00B045DE"/>
    <w:rsid w:val="00B241CC"/>
    <w:rsid w:val="00B56712"/>
    <w:rsid w:val="00B73908"/>
    <w:rsid w:val="00B8117E"/>
    <w:rsid w:val="00B904EA"/>
    <w:rsid w:val="00BA5D53"/>
    <w:rsid w:val="00BC35AF"/>
    <w:rsid w:val="00BD1310"/>
    <w:rsid w:val="00BE68AB"/>
    <w:rsid w:val="00C16C61"/>
    <w:rsid w:val="00C51C27"/>
    <w:rsid w:val="00C60001"/>
    <w:rsid w:val="00C8304F"/>
    <w:rsid w:val="00C9160D"/>
    <w:rsid w:val="00CB1A65"/>
    <w:rsid w:val="00CC57FE"/>
    <w:rsid w:val="00CC7B5F"/>
    <w:rsid w:val="00CD0618"/>
    <w:rsid w:val="00CF265E"/>
    <w:rsid w:val="00D10A92"/>
    <w:rsid w:val="00D13FEC"/>
    <w:rsid w:val="00D22B3D"/>
    <w:rsid w:val="00D77128"/>
    <w:rsid w:val="00D80B0A"/>
    <w:rsid w:val="00D80C7C"/>
    <w:rsid w:val="00DA4F56"/>
    <w:rsid w:val="00DA5BB0"/>
    <w:rsid w:val="00DC3254"/>
    <w:rsid w:val="00DE7FAB"/>
    <w:rsid w:val="00DF475E"/>
    <w:rsid w:val="00DF5D79"/>
    <w:rsid w:val="00E03791"/>
    <w:rsid w:val="00E038B5"/>
    <w:rsid w:val="00E10C62"/>
    <w:rsid w:val="00E20059"/>
    <w:rsid w:val="00E22CD1"/>
    <w:rsid w:val="00E309A3"/>
    <w:rsid w:val="00E350AE"/>
    <w:rsid w:val="00E43A93"/>
    <w:rsid w:val="00E76A9D"/>
    <w:rsid w:val="00E95739"/>
    <w:rsid w:val="00EA37C5"/>
    <w:rsid w:val="00EA6043"/>
    <w:rsid w:val="00EB1EB9"/>
    <w:rsid w:val="00EB5D98"/>
    <w:rsid w:val="00EE30F7"/>
    <w:rsid w:val="00EF52D0"/>
    <w:rsid w:val="00F1360F"/>
    <w:rsid w:val="00F63BA1"/>
    <w:rsid w:val="00F64783"/>
    <w:rsid w:val="00F70B68"/>
    <w:rsid w:val="00FA603B"/>
    <w:rsid w:val="00FC297F"/>
    <w:rsid w:val="00FD6314"/>
    <w:rsid w:val="00FE459F"/>
    <w:rsid w:val="00FE48F0"/>
    <w:rsid w:val="00FF0BC6"/>
    <w:rsid w:val="00FF23A5"/>
    <w:rsid w:val="00FF5120"/>
    <w:rsid w:val="00FF6B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4E41D96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pPr>
      <w:spacing w:after="0" w:line="240" w:lineRule="auto"/>
    </w:pPr>
  </w:style>
  <w:style w:type="paragraph" w:styleId="Heading1">
    <w:name w:val="heading 1"/>
    <w:basedOn w:val="Normal"/>
    <w:next w:val="BodyText"/>
    <w:link w:val="Heading1Char"/>
    <w:qFormat/>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pPr>
      <w:spacing w:after="480"/>
      <w:jc w:val="center"/>
    </w:pPr>
    <w:rPr>
      <w:b/>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Pr>
      <w:b/>
    </w:rPr>
  </w:style>
  <w:style w:type="paragraph" w:customStyle="1" w:styleId="Docketstyle">
    <w:name w:val="Docketstyle"/>
    <w:basedOn w:val="Normal"/>
    <w:uiPriority w:val="3"/>
    <w:rPr>
      <w:b/>
    </w:rPr>
  </w:style>
  <w:style w:type="paragraph" w:customStyle="1" w:styleId="DocketstylePUC">
    <w:name w:val="DocketstylePUC"/>
    <w:basedOn w:val="Docketstyle"/>
    <w:uiPriority w:val="3"/>
    <w:pPr>
      <w:jc w:val="center"/>
    </w:pPr>
  </w:style>
  <w:style w:type="paragraph" w:customStyle="1" w:styleId="Titleoforder">
    <w:name w:val="Titleoforder"/>
    <w:basedOn w:val="Docketnumber"/>
    <w:link w:val="TitleoforderChar"/>
    <w:uiPriority w:val="3"/>
    <w:pPr>
      <w:spacing w:before="480" w:after="360"/>
    </w:pPr>
  </w:style>
  <w:style w:type="paragraph" w:styleId="BodyText">
    <w:name w:val="Body Text"/>
    <w:basedOn w:val="Normal"/>
    <w:link w:val="BodyTextChar"/>
    <w:qFormat/>
    <w:pPr>
      <w:spacing w:before="120" w:line="360" w:lineRule="auto"/>
      <w:ind w:firstLine="720"/>
      <w:jc w:val="both"/>
    </w:pPr>
  </w:style>
  <w:style w:type="character" w:customStyle="1" w:styleId="TitleoforderChar">
    <w:name w:val="Titleoforder Char"/>
    <w:basedOn w:val="DocketnumberChar"/>
    <w:link w:val="Titleoforder"/>
    <w:uiPriority w:val="3"/>
    <w:rPr>
      <w:b/>
    </w:rPr>
  </w:style>
  <w:style w:type="character" w:customStyle="1" w:styleId="BodyTextChar">
    <w:name w:val="Body Text Char"/>
    <w:basedOn w:val="DefaultParagraphFont"/>
    <w:link w:val="BodyText"/>
  </w:style>
  <w:style w:type="character" w:customStyle="1" w:styleId="Heading1Char">
    <w:name w:val="Heading 1 Char"/>
    <w:basedOn w:val="DefaultParagraphFont"/>
    <w:link w:val="Heading1"/>
    <w:rPr>
      <w:rFonts w:eastAsiaTheme="majorEastAsia" w:cstheme="majorBidi"/>
      <w:b/>
      <w:szCs w:val="32"/>
    </w:rPr>
  </w:style>
  <w:style w:type="character" w:customStyle="1" w:styleId="Heading2Char">
    <w:name w:val="Heading 2 Char"/>
    <w:basedOn w:val="DefaultParagraphFont"/>
    <w:link w:val="Heading2"/>
    <w:rPr>
      <w:rFonts w:eastAsiaTheme="majorEastAsia" w:cstheme="majorBidi"/>
      <w:b/>
      <w:szCs w:val="26"/>
    </w:rPr>
  </w:style>
  <w:style w:type="character" w:customStyle="1" w:styleId="Heading3Char">
    <w:name w:val="Heading 3 Char"/>
    <w:basedOn w:val="DefaultParagraphFont"/>
    <w:link w:val="Heading3"/>
    <w:rPr>
      <w:rFonts w:eastAsiaTheme="majorEastAsia" w:cstheme="majorBidi"/>
      <w:b/>
    </w:rPr>
  </w:style>
  <w:style w:type="character" w:customStyle="1" w:styleId="Heading4Char">
    <w:name w:val="Heading 4 Char"/>
    <w:basedOn w:val="DefaultParagraphFont"/>
    <w:link w:val="Heading4"/>
    <w:rPr>
      <w:rFonts w:eastAsiaTheme="majorEastAsia" w:cstheme="majorBidi"/>
      <w:b/>
      <w:iCs/>
    </w:rPr>
  </w:style>
  <w:style w:type="character" w:customStyle="1" w:styleId="Heading5Char">
    <w:name w:val="Heading 5 Char"/>
    <w:basedOn w:val="DefaultParagraphFont"/>
    <w:link w:val="Heading5"/>
    <w:rPr>
      <w:rFonts w:eastAsiaTheme="majorEastAsia" w:cstheme="majorBidi"/>
      <w:b/>
    </w:rPr>
  </w:style>
  <w:style w:type="character" w:customStyle="1" w:styleId="Heading6Char">
    <w:name w:val="Heading 6 Char"/>
    <w:basedOn w:val="DefaultParagraphFont"/>
    <w:link w:val="Heading6"/>
    <w:rPr>
      <w:rFonts w:eastAsiaTheme="majorEastAsia" w:cstheme="majorBidi"/>
      <w:b/>
    </w:rPr>
  </w:style>
  <w:style w:type="character" w:customStyle="1" w:styleId="Heading7Char">
    <w:name w:val="Heading 7 Char"/>
    <w:basedOn w:val="DefaultParagraphFont"/>
    <w:link w:val="Heading7"/>
    <w:rPr>
      <w:rFonts w:eastAsiaTheme="majorEastAsia" w:cstheme="majorBidi"/>
      <w:b/>
      <w:i/>
      <w:iCs/>
      <w:u w:val="single"/>
    </w:rPr>
  </w:style>
  <w:style w:type="character" w:customStyle="1" w:styleId="Heading8Char">
    <w:name w:val="Heading 8 Char"/>
    <w:basedOn w:val="DefaultParagraphFont"/>
    <w:link w:val="Heading8"/>
    <w:rPr>
      <w:rFonts w:eastAsiaTheme="majorEastAsia" w:cstheme="majorBidi"/>
      <w:b/>
      <w:i/>
      <w:szCs w:val="21"/>
      <w:u w:val="single"/>
    </w:rPr>
  </w:style>
  <w:style w:type="paragraph" w:customStyle="1" w:styleId="FOFCOL">
    <w:name w:val="FOF/COL"/>
    <w:basedOn w:val="BodyText"/>
    <w:link w:val="FOFCOLChar"/>
    <w:uiPriority w:val="2"/>
    <w:qFormat/>
    <w:pPr>
      <w:ind w:left="720" w:hanging="720"/>
    </w:pPr>
    <w:rPr>
      <w:rFonts w:eastAsia="Times New Roman"/>
      <w:snapToGrid w:val="0"/>
      <w:szCs w:val="20"/>
    </w:rPr>
  </w:style>
  <w:style w:type="paragraph" w:customStyle="1" w:styleId="FOFNumbered">
    <w:name w:val="FOF Numbered"/>
    <w:basedOn w:val="FOFCOL"/>
    <w:link w:val="FOFNumberedChar"/>
    <w:uiPriority w:val="2"/>
    <w:qFormat/>
    <w:pPr>
      <w:numPr>
        <w:numId w:val="3"/>
      </w:numPr>
      <w:tabs>
        <w:tab w:val="clear" w:pos="3240"/>
        <w:tab w:val="num" w:pos="720"/>
      </w:tabs>
      <w:ind w:left="720"/>
    </w:pPr>
  </w:style>
  <w:style w:type="paragraph" w:customStyle="1" w:styleId="COLNumbered">
    <w:name w:val="COL Numbered"/>
    <w:basedOn w:val="FOFNumbered"/>
    <w:uiPriority w:val="2"/>
    <w:qFormat/>
    <w:pPr>
      <w:numPr>
        <w:numId w:val="6"/>
      </w:numPr>
      <w:ind w:hanging="720"/>
    </w:pPr>
  </w:style>
  <w:style w:type="paragraph" w:customStyle="1" w:styleId="OrderingNumbered">
    <w:name w:val="Ordering Numbered"/>
    <w:basedOn w:val="FOFNumbered"/>
    <w:link w:val="OrderingNumberedChar"/>
    <w:unhideWhenUsed/>
    <w:pPr>
      <w:numPr>
        <w:numId w:val="0"/>
      </w:numPr>
      <w:tabs>
        <w:tab w:val="num" w:pos="360"/>
      </w:tabs>
    </w:pPr>
  </w:style>
  <w:style w:type="character" w:customStyle="1" w:styleId="Heading9Char">
    <w:name w:val="Heading 9 Char"/>
    <w:basedOn w:val="DefaultParagraphFont"/>
    <w:link w:val="Heading9"/>
    <w:rPr>
      <w:rFonts w:eastAsiaTheme="majorEastAsia" w:cstheme="majorBidi"/>
      <w:b/>
      <w:i/>
      <w:iCs/>
      <w:szCs w:val="21"/>
      <w:u w:val="single"/>
    </w:rPr>
  </w:style>
  <w:style w:type="paragraph" w:styleId="BlockText">
    <w:name w:val="Block Text"/>
    <w:basedOn w:val="Normal"/>
    <w:pPr>
      <w:spacing w:after="120"/>
      <w:ind w:left="720" w:right="720"/>
      <w:jc w:val="both"/>
    </w:pPr>
    <w:rPr>
      <w:rFonts w:eastAsiaTheme="minorEastAsia" w:cstheme="minorBidi"/>
      <w:iCs/>
    </w:rPr>
  </w:style>
  <w:style w:type="paragraph" w:styleId="BodyText2">
    <w:name w:val="Body Text 2"/>
    <w:basedOn w:val="BodyText"/>
    <w:next w:val="BodyText"/>
    <w:link w:val="BodyText2Char"/>
    <w:pPr>
      <w:ind w:firstLine="0"/>
    </w:pPr>
  </w:style>
  <w:style w:type="character" w:customStyle="1" w:styleId="BodyText2Char">
    <w:name w:val="Body Text 2 Char"/>
    <w:basedOn w:val="DefaultParagraphFont"/>
    <w:link w:val="BodyText2"/>
  </w:style>
  <w:style w:type="paragraph" w:customStyle="1" w:styleId="Signatures">
    <w:name w:val="Signatures"/>
    <w:basedOn w:val="Normal"/>
    <w:link w:val="SignaturesChar"/>
    <w:uiPriority w:val="4"/>
    <w:pPr>
      <w:keepLines/>
      <w:ind w:left="3744"/>
    </w:pPr>
    <w:rPr>
      <w:b/>
    </w:rPr>
  </w:style>
  <w:style w:type="paragraph" w:customStyle="1" w:styleId="Dateline">
    <w:name w:val="Dateline"/>
    <w:basedOn w:val="Normal"/>
    <w:link w:val="DatelineChar"/>
    <w:uiPriority w:val="3"/>
    <w:pPr>
      <w:keepNext/>
      <w:ind w:left="720"/>
    </w:pPr>
    <w:rPr>
      <w:b/>
    </w:rPr>
  </w:style>
  <w:style w:type="character" w:customStyle="1" w:styleId="SignaturesChar">
    <w:name w:val="Signatures Char"/>
    <w:basedOn w:val="DefaultParagraphFont"/>
    <w:link w:val="Signatures"/>
    <w:uiPriority w:val="4"/>
    <w:rPr>
      <w:b/>
    </w:rPr>
  </w:style>
  <w:style w:type="paragraph" w:customStyle="1" w:styleId="EndMatter">
    <w:name w:val="End Matter"/>
    <w:basedOn w:val="Normal"/>
    <w:link w:val="EndMatterChar"/>
    <w:uiPriority w:val="3"/>
    <w:rPr>
      <w:sz w:val="20"/>
      <w:szCs w:val="20"/>
    </w:rPr>
  </w:style>
  <w:style w:type="character" w:customStyle="1" w:styleId="DatelineChar">
    <w:name w:val="Dateline Char"/>
    <w:basedOn w:val="DefaultParagraphFont"/>
    <w:link w:val="Dateline"/>
    <w:uiPriority w:val="3"/>
    <w:rPr>
      <w:b/>
    </w:rPr>
  </w:style>
  <w:style w:type="character" w:customStyle="1" w:styleId="EndMatterChar">
    <w:name w:val="End Matter Char"/>
    <w:basedOn w:val="DefaultParagraphFont"/>
    <w:link w:val="EndMatter"/>
    <w:uiPriority w:val="3"/>
    <w:rPr>
      <w:sz w:val="20"/>
      <w:szCs w:val="20"/>
    </w:rPr>
  </w:style>
  <w:style w:type="paragraph" w:styleId="FootnoteText">
    <w:name w:val="footnote text"/>
    <w:basedOn w:val="Normal"/>
    <w:link w:val="FootnoteTextChar"/>
    <w:pPr>
      <w:spacing w:after="120"/>
      <w:ind w:firstLine="720"/>
    </w:pPr>
    <w:rPr>
      <w:sz w:val="20"/>
      <w:szCs w:val="20"/>
    </w:rPr>
  </w:style>
  <w:style w:type="character" w:customStyle="1" w:styleId="FootnoteTextChar">
    <w:name w:val="Footnote Text Char"/>
    <w:basedOn w:val="DefaultParagraphFont"/>
    <w:link w:val="FootnoteText"/>
    <w:rPr>
      <w:sz w:val="20"/>
      <w:szCs w:val="20"/>
    </w:rPr>
  </w:style>
  <w:style w:type="character" w:styleId="FootnoteReference">
    <w:name w:val="footnote reference"/>
    <w:aliases w:val="fr,o,Style 3,FR,(NECG) Footnote Reference,Appel note de bas de p"/>
    <w:basedOn w:val="DefaultParagraphFont"/>
    <w:uiPriority w:val="99"/>
    <w:rPr>
      <w:vertAlign w:val="superscript"/>
    </w:rPr>
  </w:style>
  <w:style w:type="paragraph" w:customStyle="1" w:styleId="BlockTextEnd">
    <w:name w:val="Block Text End"/>
    <w:basedOn w:val="BlockText"/>
    <w:link w:val="BlockTextEndChar"/>
    <w:pPr>
      <w:spacing w:after="240"/>
    </w:pPr>
  </w:style>
  <w:style w:type="paragraph" w:customStyle="1" w:styleId="OrderingParagraph">
    <w:name w:val="Ordering Paragraph"/>
    <w:basedOn w:val="FOFNumbered"/>
    <w:link w:val="OrderingParagraphChar"/>
    <w:uiPriority w:val="2"/>
    <w:qFormat/>
    <w:pPr>
      <w:numPr>
        <w:numId w:val="10"/>
      </w:numPr>
    </w:pPr>
  </w:style>
  <w:style w:type="character" w:customStyle="1" w:styleId="BlockTextEndChar">
    <w:name w:val="Block Text End Char"/>
    <w:basedOn w:val="BodyTextChar"/>
    <w:link w:val="BlockTextEnd"/>
    <w:rPr>
      <w:rFonts w:eastAsiaTheme="minorEastAsia" w:cstheme="minorBidi"/>
      <w:iCs/>
    </w:r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FOFCOLChar">
    <w:name w:val="FOF/COL Char"/>
    <w:basedOn w:val="BodyTextChar"/>
    <w:link w:val="FOFCOL"/>
    <w:uiPriority w:val="2"/>
    <w:rPr>
      <w:rFonts w:eastAsia="Times New Roman"/>
      <w:snapToGrid w:val="0"/>
      <w:szCs w:val="20"/>
    </w:rPr>
  </w:style>
  <w:style w:type="character" w:customStyle="1" w:styleId="FOFNumberedChar">
    <w:name w:val="FOF Numbered Char"/>
    <w:basedOn w:val="FOFCOLChar"/>
    <w:link w:val="FOFNumbered"/>
    <w:uiPriority w:val="2"/>
    <w:rPr>
      <w:rFonts w:eastAsia="Times New Roman"/>
      <w:snapToGrid w:val="0"/>
      <w:szCs w:val="20"/>
    </w:rPr>
  </w:style>
  <w:style w:type="character" w:customStyle="1" w:styleId="OrderingNumberedChar">
    <w:name w:val="Ordering Numbered Char"/>
    <w:basedOn w:val="FOFNumberedChar"/>
    <w:link w:val="OrderingNumbered"/>
    <w:uiPriority w:val="4"/>
    <w:semiHidden/>
    <w:rPr>
      <w:rFonts w:eastAsia="Times New Roman"/>
      <w:snapToGrid w:val="0"/>
      <w:szCs w:val="20"/>
    </w:rPr>
  </w:style>
  <w:style w:type="character" w:customStyle="1" w:styleId="OrderingParagraphChar">
    <w:name w:val="Ordering Paragraph Char"/>
    <w:basedOn w:val="OrderingNumberedChar"/>
    <w:link w:val="OrderingParagraph"/>
    <w:uiPriority w:val="2"/>
    <w:rPr>
      <w:rFonts w:eastAsia="Times New Roman"/>
      <w:snapToGrid w:val="0"/>
      <w:szCs w:val="20"/>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paragraph" w:styleId="Header">
    <w:name w:val="header"/>
    <w:basedOn w:val="Normal"/>
    <w:link w:val="HeaderChar"/>
    <w:uiPriority w:val="99"/>
    <w:unhideWhenUsed/>
    <w:pPr>
      <w:tabs>
        <w:tab w:val="center" w:pos="4680"/>
        <w:tab w:val="right" w:pos="9360"/>
      </w:tabs>
    </w:pPr>
    <w:rPr>
      <w:b/>
      <w:sz w:val="22"/>
    </w:rPr>
  </w:style>
  <w:style w:type="character" w:customStyle="1" w:styleId="HeaderChar">
    <w:name w:val="Header Char"/>
    <w:basedOn w:val="DefaultParagraphFont"/>
    <w:link w:val="Header"/>
    <w:uiPriority w:val="99"/>
    <w:rPr>
      <w:b/>
      <w:sz w:val="22"/>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style>
  <w:style w:type="table" w:customStyle="1" w:styleId="TableGrid1">
    <w:name w:val="Table Grid1"/>
    <w:basedOn w:val="TableNormal"/>
    <w:next w:val="TableGrid"/>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Revision">
    <w:name w:val="Revision"/>
    <w:hidden/>
    <w:uiPriority w:val="99"/>
    <w:semiHidden/>
    <w:pPr>
      <w:spacing w:after="0" w:line="240" w:lineRule="auto"/>
    </w:pPr>
  </w:style>
  <w:style w:type="paragraph" w:styleId="ListParagraph">
    <w:name w:val="List Paragraph"/>
    <w:basedOn w:val="Normal"/>
    <w:uiPriority w:val="34"/>
    <w:unhideWhenUsed/>
    <w:qFormat/>
    <w:pPr>
      <w:ind w:left="720"/>
      <w:contextualSpacing/>
    </w:pPr>
  </w:style>
  <w:style w:type="character" w:styleId="PlaceholderText">
    <w:name w:val="Placeholder Text"/>
    <w:basedOn w:val="DefaultParagraphFont"/>
    <w:uiPriority w:val="99"/>
    <w:semiHidden/>
    <w:rPr>
      <w:color w:val="808080"/>
    </w:rPr>
  </w:style>
  <w:style w:type="paragraph" w:customStyle="1" w:styleId="FilePath">
    <w:name w:val="File Path"/>
    <w:basedOn w:val="Normal"/>
    <w:link w:val="FilePathChar"/>
    <w:qFormat/>
    <w:pPr>
      <w:spacing w:before="120"/>
      <w:jc w:val="both"/>
    </w:pPr>
    <w:rPr>
      <w:rFonts w:eastAsia="Times New Roman"/>
      <w:sz w:val="16"/>
      <w:szCs w:val="20"/>
      <w:lang w:eastAsia="zh-TW"/>
    </w:rPr>
  </w:style>
  <w:style w:type="character" w:customStyle="1" w:styleId="FilePathChar">
    <w:name w:val="File Path Char"/>
    <w:basedOn w:val="DefaultParagraphFont"/>
    <w:link w:val="FilePath"/>
    <w:rPr>
      <w:rFonts w:eastAsia="Times New Roman"/>
      <w:sz w:val="16"/>
      <w:szCs w:val="20"/>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268939">
      <w:bodyDiv w:val="1"/>
      <w:marLeft w:val="0"/>
      <w:marRight w:val="0"/>
      <w:marTop w:val="0"/>
      <w:marBottom w:val="0"/>
      <w:divBdr>
        <w:top w:val="none" w:sz="0" w:space="0" w:color="auto"/>
        <w:left w:val="none" w:sz="0" w:space="0" w:color="auto"/>
        <w:bottom w:val="none" w:sz="0" w:space="0" w:color="auto"/>
        <w:right w:val="none" w:sz="0" w:space="0" w:color="auto"/>
      </w:divBdr>
    </w:div>
    <w:div w:id="645204510">
      <w:bodyDiv w:val="1"/>
      <w:marLeft w:val="0"/>
      <w:marRight w:val="0"/>
      <w:marTop w:val="0"/>
      <w:marBottom w:val="0"/>
      <w:divBdr>
        <w:top w:val="none" w:sz="0" w:space="0" w:color="auto"/>
        <w:left w:val="none" w:sz="0" w:space="0" w:color="auto"/>
        <w:bottom w:val="none" w:sz="0" w:space="0" w:color="auto"/>
        <w:right w:val="none" w:sz="0" w:space="0" w:color="auto"/>
      </w:divBdr>
    </w:div>
    <w:div w:id="112022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93FB1D-C667-49E1-A7D9-57F336976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5106</Words>
  <Characters>29108</Characters>
  <Application>Microsoft Office Word</Application>
  <DocSecurity>0</DocSecurity>
  <Lines>242</Lines>
  <Paragraphs>68</Paragraphs>
  <ScaleCrop>false</ScaleCrop>
  <Company/>
  <LinksUpToDate>false</LinksUpToDate>
  <CharactersWithSpaces>34146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
  <cp:lastModifiedBy/>
  <cp:revision>1</cp:revision>
  <dcterms:created xsi:type="dcterms:W3CDTF">2024-10-15T20:46:00Z</dcterms:created>
  <dcterms:modified xsi:type="dcterms:W3CDTF">2024-10-15T20:47:00Z</dcterms:modified>
</cp:coreProperties>
</file>